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89D67">
      <w:pPr>
        <w:spacing w:line="560" w:lineRule="exact"/>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eastAsia="zh-CN"/>
        </w:rPr>
        <w:t>邵阳</w:t>
      </w:r>
      <w:r>
        <w:rPr>
          <w:rFonts w:hint="eastAsia" w:ascii="黑体" w:hAnsi="黑体" w:eastAsia="黑体" w:cs="黑体"/>
          <w:b/>
          <w:bCs/>
          <w:sz w:val="44"/>
          <w:szCs w:val="44"/>
        </w:rPr>
        <w:t>市</w:t>
      </w:r>
      <w:r>
        <w:rPr>
          <w:rFonts w:hint="eastAsia" w:ascii="黑体" w:hAnsi="黑体" w:eastAsia="黑体" w:cs="黑体"/>
          <w:b/>
          <w:bCs/>
          <w:sz w:val="44"/>
          <w:szCs w:val="44"/>
          <w:lang w:val="en-US" w:eastAsia="zh-CN"/>
        </w:rPr>
        <w:t>2021年度宝庆新城商住区</w:t>
      </w:r>
    </w:p>
    <w:p w14:paraId="13714D1C">
      <w:pPr>
        <w:spacing w:line="560" w:lineRule="exact"/>
        <w:jc w:val="center"/>
        <w:rPr>
          <w:rFonts w:hint="eastAsia" w:ascii="黑体" w:hAnsi="黑体" w:eastAsia="黑体" w:cs="黑体"/>
          <w:b/>
          <w:bCs/>
          <w:sz w:val="44"/>
          <w:szCs w:val="44"/>
        </w:rPr>
      </w:pPr>
      <w:r>
        <w:rPr>
          <w:rFonts w:hint="eastAsia" w:ascii="黑体" w:hAnsi="黑体" w:eastAsia="黑体" w:cs="黑体"/>
          <w:b/>
          <w:bCs/>
          <w:sz w:val="44"/>
          <w:szCs w:val="44"/>
          <w:lang w:val="en-US" w:eastAsia="zh-CN"/>
        </w:rPr>
        <w:t>一期3-7#项目专项债券资金</w:t>
      </w:r>
      <w:r>
        <w:rPr>
          <w:rFonts w:hint="eastAsia" w:ascii="黑体" w:hAnsi="黑体" w:eastAsia="黑体" w:cs="黑体"/>
          <w:b/>
          <w:bCs/>
          <w:sz w:val="44"/>
          <w:szCs w:val="44"/>
        </w:rPr>
        <w:t>绩效评价报告</w:t>
      </w:r>
    </w:p>
    <w:p w14:paraId="15548D08">
      <w:pPr>
        <w:rPr>
          <w:rFonts w:eastAsia="仿宋_GB2312"/>
          <w:color w:val="auto"/>
          <w:sz w:val="32"/>
          <w:szCs w:val="32"/>
        </w:rPr>
      </w:pPr>
    </w:p>
    <w:p w14:paraId="291D5DE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color w:val="auto"/>
          <w:sz w:val="30"/>
          <w:szCs w:val="30"/>
        </w:rPr>
        <w:t>为进一步规范</w:t>
      </w:r>
      <w:bookmarkStart w:id="1" w:name="_GoBack"/>
      <w:bookmarkEnd w:id="1"/>
      <w:r>
        <w:rPr>
          <w:rFonts w:hint="eastAsia" w:ascii="仿宋" w:hAnsi="仿宋" w:eastAsia="仿宋" w:cs="仿宋"/>
          <w:color w:val="auto"/>
          <w:sz w:val="30"/>
          <w:szCs w:val="30"/>
        </w:rPr>
        <w:t>政府债务项目管理，提高政府债券资金使用效益，提升政府债务</w:t>
      </w:r>
      <w:r>
        <w:rPr>
          <w:rFonts w:hint="eastAsia" w:ascii="仿宋" w:hAnsi="仿宋" w:eastAsia="仿宋" w:cs="仿宋"/>
          <w:color w:val="auto"/>
          <w:sz w:val="30"/>
          <w:szCs w:val="30"/>
          <w:lang w:eastAsia="zh-CN"/>
        </w:rPr>
        <w:t>资金</w:t>
      </w:r>
      <w:r>
        <w:rPr>
          <w:rFonts w:hint="eastAsia" w:ascii="仿宋" w:hAnsi="仿宋" w:eastAsia="仿宋" w:cs="仿宋"/>
          <w:color w:val="auto"/>
          <w:sz w:val="30"/>
          <w:szCs w:val="30"/>
        </w:rPr>
        <w:t>管理水平，</w:t>
      </w:r>
      <w:r>
        <w:rPr>
          <w:rFonts w:hint="eastAsia" w:ascii="仿宋" w:hAnsi="仿宋" w:eastAsia="仿宋" w:cs="仿宋"/>
          <w:b w:val="0"/>
          <w:bCs w:val="0"/>
          <w:color w:val="auto"/>
          <w:sz w:val="30"/>
          <w:szCs w:val="30"/>
        </w:rPr>
        <w:t>加强预算支出的管理工作，</w:t>
      </w:r>
      <w:r>
        <w:rPr>
          <w:rFonts w:hint="eastAsia" w:ascii="仿宋" w:hAnsi="仿宋" w:eastAsia="仿宋" w:cs="仿宋"/>
          <w:color w:val="auto"/>
          <w:sz w:val="30"/>
          <w:szCs w:val="30"/>
        </w:rPr>
        <w:t>防范化解政府债务风险</w:t>
      </w:r>
      <w:r>
        <w:rPr>
          <w:rFonts w:hint="eastAsia" w:ascii="仿宋" w:hAnsi="仿宋" w:eastAsia="仿宋" w:cs="仿宋"/>
          <w:color w:val="auto"/>
          <w:sz w:val="30"/>
          <w:szCs w:val="30"/>
          <w:lang w:eastAsia="zh-CN"/>
        </w:rPr>
        <w:t>。同时</w:t>
      </w:r>
      <w:r>
        <w:rPr>
          <w:rFonts w:hint="eastAsia" w:ascii="仿宋" w:hAnsi="仿宋" w:eastAsia="仿宋" w:cs="仿宋"/>
          <w:b w:val="0"/>
          <w:bCs w:val="0"/>
          <w:color w:val="auto"/>
          <w:sz w:val="30"/>
          <w:szCs w:val="30"/>
          <w:lang w:eastAsia="zh-CN"/>
        </w:rPr>
        <w:t>，为了更好的落实国家、省、市、县有关</w:t>
      </w:r>
      <w:r>
        <w:rPr>
          <w:rFonts w:hint="eastAsia" w:ascii="仿宋" w:hAnsi="仿宋" w:eastAsia="仿宋" w:cs="仿宋"/>
          <w:color w:val="auto"/>
          <w:sz w:val="30"/>
          <w:szCs w:val="30"/>
        </w:rPr>
        <w:t>债券</w:t>
      </w:r>
      <w:r>
        <w:rPr>
          <w:rFonts w:hint="eastAsia" w:ascii="仿宋" w:hAnsi="仿宋" w:eastAsia="仿宋" w:cs="仿宋"/>
          <w:b w:val="0"/>
          <w:bCs w:val="0"/>
          <w:color w:val="auto"/>
          <w:sz w:val="30"/>
          <w:szCs w:val="30"/>
          <w:lang w:eastAsia="zh-CN"/>
        </w:rPr>
        <w:t>资金政策，</w:t>
      </w:r>
      <w:r>
        <w:rPr>
          <w:rFonts w:hint="eastAsia" w:ascii="仿宋" w:hAnsi="仿宋" w:eastAsia="仿宋" w:cs="仿宋"/>
          <w:b w:val="0"/>
          <w:bCs w:val="0"/>
          <w:color w:val="auto"/>
          <w:sz w:val="30"/>
          <w:szCs w:val="30"/>
        </w:rPr>
        <w:t>进而促进社会经济更好更快的</w:t>
      </w:r>
      <w:r>
        <w:rPr>
          <w:rFonts w:hint="eastAsia" w:ascii="仿宋" w:hAnsi="仿宋" w:eastAsia="仿宋" w:cs="仿宋"/>
          <w:b w:val="0"/>
          <w:bCs w:val="0"/>
          <w:color w:val="auto"/>
          <w:sz w:val="30"/>
          <w:szCs w:val="30"/>
          <w:lang w:eastAsia="zh-CN"/>
        </w:rPr>
        <w:t>平稳</w:t>
      </w:r>
      <w:r>
        <w:rPr>
          <w:rFonts w:hint="eastAsia" w:ascii="仿宋" w:hAnsi="仿宋" w:eastAsia="仿宋" w:cs="仿宋"/>
          <w:b w:val="0"/>
          <w:bCs w:val="0"/>
          <w:color w:val="auto"/>
          <w:sz w:val="30"/>
          <w:szCs w:val="30"/>
        </w:rPr>
        <w:t>发展</w:t>
      </w:r>
      <w:r>
        <w:rPr>
          <w:rFonts w:hint="eastAsia" w:ascii="仿宋" w:hAnsi="仿宋" w:eastAsia="仿宋" w:cs="仿宋"/>
          <w:b w:val="0"/>
          <w:bCs w:val="0"/>
          <w:color w:val="auto"/>
          <w:sz w:val="30"/>
          <w:szCs w:val="30"/>
          <w:lang w:eastAsia="zh-CN"/>
        </w:rPr>
        <w:t>。</w:t>
      </w:r>
      <w:r>
        <w:rPr>
          <w:rFonts w:hint="eastAsia" w:ascii="仿宋" w:hAnsi="仿宋" w:eastAsia="仿宋" w:cs="仿宋"/>
          <w:sz w:val="30"/>
          <w:szCs w:val="30"/>
        </w:rPr>
        <w:t>根据</w:t>
      </w:r>
      <w:r>
        <w:rPr>
          <w:rFonts w:hint="eastAsia" w:ascii="仿宋" w:hAnsi="仿宋" w:eastAsia="仿宋" w:cs="仿宋"/>
          <w:sz w:val="30"/>
          <w:szCs w:val="30"/>
          <w:lang w:val="en-US" w:eastAsia="zh-CN"/>
        </w:rPr>
        <w:t>《湖南省预算支出绩效评价管理办法》（湘财绩</w:t>
      </w:r>
      <w:bookmarkStart w:id="0" w:name="OLE_LINK1"/>
      <w:r>
        <w:rPr>
          <w:rFonts w:hint="eastAsia" w:ascii="仿宋" w:hAnsi="仿宋" w:eastAsia="仿宋" w:cs="仿宋"/>
          <w:sz w:val="30"/>
          <w:szCs w:val="30"/>
          <w:lang w:val="en-US" w:eastAsia="zh-CN"/>
        </w:rPr>
        <w:t>〔2020〕7号</w:t>
      </w:r>
      <w:bookmarkEnd w:id="0"/>
      <w:r>
        <w:rPr>
          <w:rFonts w:hint="eastAsia" w:ascii="仿宋" w:hAnsi="仿宋" w:eastAsia="仿宋" w:cs="仿宋"/>
          <w:sz w:val="30"/>
          <w:szCs w:val="30"/>
          <w:lang w:val="en-US" w:eastAsia="zh-CN"/>
        </w:rPr>
        <w:t>）、</w:t>
      </w:r>
      <w:r>
        <w:rPr>
          <w:rFonts w:hint="eastAsia" w:ascii="仿宋" w:hAnsi="仿宋" w:eastAsia="仿宋" w:cs="仿宋"/>
          <w:b w:val="0"/>
          <w:bCs w:val="0"/>
          <w:color w:val="auto"/>
          <w:sz w:val="30"/>
          <w:szCs w:val="30"/>
          <w:lang w:eastAsia="zh-CN"/>
        </w:rPr>
        <w:t>湖南省财政厅关于印发《湖南省政府债务项目绩效管理暂行办法》</w:t>
      </w:r>
      <w:r>
        <w:rPr>
          <w:rFonts w:hint="eastAsia" w:ascii="仿宋" w:hAnsi="仿宋" w:eastAsia="仿宋" w:cs="仿宋"/>
          <w:b w:val="0"/>
          <w:bCs w:val="0"/>
          <w:color w:val="auto"/>
          <w:sz w:val="30"/>
          <w:szCs w:val="30"/>
          <w:lang w:val="en-US" w:eastAsia="zh-CN"/>
        </w:rPr>
        <w:t>的通知</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湘财绩</w:t>
      </w:r>
      <w:r>
        <w:rPr>
          <w:rFonts w:hint="eastAsia" w:ascii="仿宋" w:hAnsi="仿宋" w:eastAsia="仿宋" w:cs="仿宋"/>
          <w:b w:val="0"/>
          <w:bCs w:val="0"/>
          <w:color w:val="auto"/>
          <w:sz w:val="30"/>
          <w:szCs w:val="30"/>
        </w:rPr>
        <w:t>〔20</w:t>
      </w:r>
      <w:r>
        <w:rPr>
          <w:rFonts w:hint="eastAsia" w:ascii="仿宋" w:hAnsi="仿宋" w:eastAsia="仿宋" w:cs="仿宋"/>
          <w:b w:val="0"/>
          <w:bCs w:val="0"/>
          <w:color w:val="auto"/>
          <w:sz w:val="30"/>
          <w:szCs w:val="30"/>
          <w:lang w:val="en-US" w:eastAsia="zh-CN"/>
        </w:rPr>
        <w:t>20</w:t>
      </w:r>
      <w:r>
        <w:rPr>
          <w:rFonts w:hint="eastAsia" w:ascii="仿宋" w:hAnsi="仿宋" w:eastAsia="仿宋" w:cs="仿宋"/>
          <w:b w:val="0"/>
          <w:bCs w:val="0"/>
          <w:color w:val="auto"/>
          <w:sz w:val="30"/>
          <w:szCs w:val="30"/>
        </w:rPr>
        <w:t>〕</w:t>
      </w:r>
      <w:r>
        <w:rPr>
          <w:rFonts w:hint="eastAsia" w:ascii="仿宋" w:hAnsi="仿宋" w:eastAsia="仿宋" w:cs="仿宋"/>
          <w:b w:val="0"/>
          <w:bCs w:val="0"/>
          <w:color w:val="auto"/>
          <w:sz w:val="30"/>
          <w:szCs w:val="30"/>
          <w:lang w:val="en-US" w:eastAsia="zh-CN"/>
        </w:rPr>
        <w:t>12</w:t>
      </w:r>
      <w:r>
        <w:rPr>
          <w:rFonts w:hint="eastAsia" w:ascii="仿宋" w:hAnsi="仿宋" w:eastAsia="仿宋" w:cs="仿宋"/>
          <w:b w:val="0"/>
          <w:bCs w:val="0"/>
          <w:color w:val="auto"/>
          <w:sz w:val="30"/>
          <w:szCs w:val="30"/>
        </w:rPr>
        <w:t>号）</w:t>
      </w:r>
      <w:r>
        <w:rPr>
          <w:rFonts w:hint="eastAsia" w:ascii="仿宋" w:hAnsi="仿宋" w:eastAsia="仿宋" w:cs="仿宋"/>
          <w:b w:val="0"/>
          <w:bCs w:val="0"/>
          <w:color w:val="auto"/>
          <w:sz w:val="30"/>
          <w:szCs w:val="30"/>
          <w:lang w:eastAsia="zh-CN"/>
        </w:rPr>
        <w:t>、《邵阳市财政局关于开展</w:t>
      </w:r>
      <w:r>
        <w:rPr>
          <w:rFonts w:hint="eastAsia" w:ascii="仿宋" w:hAnsi="仿宋" w:eastAsia="仿宋" w:cs="仿宋"/>
          <w:b w:val="0"/>
          <w:bCs w:val="0"/>
          <w:color w:val="auto"/>
          <w:sz w:val="30"/>
          <w:szCs w:val="30"/>
          <w:lang w:val="en-US" w:eastAsia="zh-CN"/>
        </w:rPr>
        <w:t>2021年度宝庆新城商住区一期3-7#专项资金绩效评价工作的通知</w:t>
      </w:r>
      <w:r>
        <w:rPr>
          <w:rFonts w:hint="eastAsia" w:ascii="仿宋" w:hAnsi="仿宋" w:eastAsia="仿宋" w:cs="仿宋"/>
          <w:b w:val="0"/>
          <w:bCs w:val="0"/>
          <w:color w:val="auto"/>
          <w:sz w:val="30"/>
          <w:szCs w:val="30"/>
          <w:lang w:eastAsia="zh-CN"/>
        </w:rPr>
        <w:t>》（邵财绩</w:t>
      </w:r>
      <w:r>
        <w:rPr>
          <w:rFonts w:hint="eastAsia" w:ascii="仿宋" w:hAnsi="仿宋" w:eastAsia="仿宋" w:cs="仿宋"/>
          <w:b w:val="0"/>
          <w:bCs w:val="0"/>
          <w:color w:val="auto"/>
          <w:sz w:val="30"/>
          <w:szCs w:val="30"/>
        </w:rPr>
        <w:t>〔20</w:t>
      </w:r>
      <w:r>
        <w:rPr>
          <w:rFonts w:hint="eastAsia" w:ascii="仿宋" w:hAnsi="仿宋" w:eastAsia="仿宋" w:cs="仿宋"/>
          <w:b w:val="0"/>
          <w:bCs w:val="0"/>
          <w:color w:val="auto"/>
          <w:sz w:val="30"/>
          <w:szCs w:val="30"/>
          <w:lang w:val="en-US" w:eastAsia="zh-CN"/>
        </w:rPr>
        <w:t>22</w:t>
      </w:r>
      <w:r>
        <w:rPr>
          <w:rFonts w:hint="eastAsia" w:ascii="仿宋" w:hAnsi="仿宋" w:eastAsia="仿宋" w:cs="仿宋"/>
          <w:b w:val="0"/>
          <w:bCs w:val="0"/>
          <w:color w:val="auto"/>
          <w:sz w:val="30"/>
          <w:szCs w:val="30"/>
        </w:rPr>
        <w:t>〕</w:t>
      </w:r>
      <w:r>
        <w:rPr>
          <w:rFonts w:hint="eastAsia" w:ascii="仿宋" w:hAnsi="仿宋" w:eastAsia="仿宋" w:cs="仿宋"/>
          <w:b w:val="0"/>
          <w:bCs w:val="0"/>
          <w:color w:val="auto"/>
          <w:sz w:val="30"/>
          <w:szCs w:val="30"/>
          <w:lang w:val="en-US" w:eastAsia="zh-CN"/>
        </w:rPr>
        <w:t>20</w:t>
      </w:r>
      <w:r>
        <w:rPr>
          <w:rFonts w:hint="eastAsia" w:ascii="仿宋" w:hAnsi="仿宋" w:eastAsia="仿宋" w:cs="仿宋"/>
          <w:b w:val="0"/>
          <w:bCs w:val="0"/>
          <w:color w:val="auto"/>
          <w:sz w:val="30"/>
          <w:szCs w:val="30"/>
        </w:rPr>
        <w:t>号</w:t>
      </w:r>
      <w:r>
        <w:rPr>
          <w:rFonts w:hint="eastAsia" w:ascii="仿宋" w:hAnsi="仿宋" w:eastAsia="仿宋" w:cs="仿宋"/>
          <w:b w:val="0"/>
          <w:bCs w:val="0"/>
          <w:color w:val="auto"/>
          <w:sz w:val="30"/>
          <w:szCs w:val="30"/>
          <w:lang w:eastAsia="zh-CN"/>
        </w:rPr>
        <w:t>）等文件相关规定，受邵阳市财政局</w:t>
      </w:r>
      <w:r>
        <w:rPr>
          <w:rFonts w:hint="eastAsia" w:ascii="仿宋" w:hAnsi="仿宋" w:eastAsia="仿宋" w:cs="仿宋"/>
          <w:b w:val="0"/>
          <w:bCs w:val="0"/>
          <w:color w:val="auto"/>
          <w:sz w:val="30"/>
          <w:szCs w:val="30"/>
        </w:rPr>
        <w:t>委托，</w:t>
      </w:r>
      <w:r>
        <w:rPr>
          <w:rFonts w:hint="eastAsia" w:ascii="仿宋" w:hAnsi="仿宋" w:eastAsia="仿宋" w:cs="仿宋"/>
          <w:b w:val="0"/>
          <w:bCs w:val="0"/>
          <w:color w:val="auto"/>
          <w:sz w:val="30"/>
          <w:szCs w:val="30"/>
          <w:lang w:eastAsia="zh-CN"/>
        </w:rPr>
        <w:t>湖南希望会计师事务所有限责任公司</w:t>
      </w:r>
      <w:r>
        <w:rPr>
          <w:rFonts w:hint="eastAsia" w:ascii="仿宋" w:hAnsi="仿宋" w:eastAsia="仿宋" w:cs="仿宋"/>
          <w:sz w:val="30"/>
          <w:szCs w:val="30"/>
        </w:rPr>
        <w:t>绩效评价工作</w:t>
      </w:r>
      <w:r>
        <w:rPr>
          <w:rFonts w:hint="eastAsia" w:ascii="仿宋" w:hAnsi="仿宋" w:eastAsia="仿宋" w:cs="仿宋"/>
          <w:sz w:val="30"/>
          <w:szCs w:val="30"/>
          <w:lang w:eastAsia="zh-CN"/>
        </w:rPr>
        <w:t>小</w:t>
      </w:r>
      <w:r>
        <w:rPr>
          <w:rFonts w:hint="eastAsia" w:ascii="仿宋" w:hAnsi="仿宋" w:eastAsia="仿宋" w:cs="仿宋"/>
          <w:sz w:val="30"/>
          <w:szCs w:val="30"/>
        </w:rPr>
        <w:t>组于</w:t>
      </w:r>
      <w:r>
        <w:rPr>
          <w:rFonts w:hint="eastAsia" w:ascii="仿宋" w:hAnsi="仿宋" w:eastAsia="仿宋" w:cs="仿宋"/>
          <w:sz w:val="30"/>
          <w:szCs w:val="30"/>
          <w:lang w:eastAsia="zh-CN"/>
        </w:rPr>
        <w:t>202</w:t>
      </w:r>
      <w:r>
        <w:rPr>
          <w:rFonts w:hint="eastAsia" w:ascii="仿宋" w:hAnsi="仿宋" w:eastAsia="仿宋" w:cs="仿宋"/>
          <w:sz w:val="30"/>
          <w:szCs w:val="30"/>
          <w:lang w:val="en-US" w:eastAsia="zh-CN"/>
        </w:rPr>
        <w:t>2</w:t>
      </w:r>
      <w:r>
        <w:rPr>
          <w:rFonts w:hint="eastAsia" w:ascii="仿宋" w:hAnsi="仿宋" w:eastAsia="仿宋" w:cs="仿宋"/>
          <w:sz w:val="30"/>
          <w:szCs w:val="30"/>
        </w:rPr>
        <w:t>年</w:t>
      </w:r>
      <w:r>
        <w:rPr>
          <w:rFonts w:hint="eastAsia" w:ascii="仿宋" w:hAnsi="仿宋" w:eastAsia="仿宋" w:cs="仿宋"/>
          <w:sz w:val="30"/>
          <w:szCs w:val="30"/>
          <w:lang w:val="en-US" w:eastAsia="zh-CN"/>
        </w:rPr>
        <w:t>7</w:t>
      </w:r>
      <w:r>
        <w:rPr>
          <w:rFonts w:hint="eastAsia" w:ascii="仿宋" w:hAnsi="仿宋" w:eastAsia="仿宋" w:cs="仿宋"/>
          <w:sz w:val="30"/>
          <w:szCs w:val="30"/>
        </w:rPr>
        <w:t>月</w:t>
      </w:r>
      <w:r>
        <w:rPr>
          <w:rFonts w:hint="eastAsia" w:ascii="仿宋" w:hAnsi="仿宋" w:eastAsia="仿宋" w:cs="仿宋"/>
          <w:sz w:val="30"/>
          <w:szCs w:val="30"/>
          <w:lang w:val="en-US" w:eastAsia="zh-CN"/>
        </w:rPr>
        <w:t>13日</w:t>
      </w:r>
      <w:r>
        <w:rPr>
          <w:rFonts w:hint="eastAsia" w:ascii="仿宋" w:hAnsi="仿宋" w:eastAsia="仿宋" w:cs="仿宋"/>
          <w:sz w:val="30"/>
          <w:szCs w:val="30"/>
        </w:rPr>
        <w:t>至</w:t>
      </w:r>
      <w:r>
        <w:rPr>
          <w:rFonts w:hint="eastAsia" w:ascii="仿宋" w:hAnsi="仿宋" w:eastAsia="仿宋" w:cs="仿宋"/>
          <w:sz w:val="30"/>
          <w:szCs w:val="30"/>
          <w:lang w:val="en-US" w:eastAsia="zh-CN"/>
        </w:rPr>
        <w:t>7</w:t>
      </w:r>
      <w:r>
        <w:rPr>
          <w:rFonts w:hint="eastAsia" w:ascii="仿宋" w:hAnsi="仿宋" w:eastAsia="仿宋" w:cs="仿宋"/>
          <w:sz w:val="30"/>
          <w:szCs w:val="30"/>
        </w:rPr>
        <w:t>月</w:t>
      </w:r>
      <w:r>
        <w:rPr>
          <w:rFonts w:hint="eastAsia" w:ascii="仿宋" w:hAnsi="仿宋" w:eastAsia="仿宋" w:cs="仿宋"/>
          <w:sz w:val="30"/>
          <w:szCs w:val="30"/>
          <w:lang w:val="en-US" w:eastAsia="zh-CN"/>
        </w:rPr>
        <w:t>23日</w:t>
      </w:r>
      <w:r>
        <w:rPr>
          <w:rFonts w:hint="eastAsia" w:ascii="仿宋" w:hAnsi="仿宋" w:eastAsia="仿宋" w:cs="仿宋"/>
          <w:b w:val="0"/>
          <w:bCs w:val="0"/>
          <w:color w:val="auto"/>
          <w:sz w:val="30"/>
          <w:szCs w:val="30"/>
        </w:rPr>
        <w:t>对</w:t>
      </w:r>
      <w:r>
        <w:rPr>
          <w:rFonts w:hint="eastAsia" w:ascii="仿宋" w:hAnsi="仿宋" w:eastAsia="仿宋" w:cs="仿宋"/>
          <w:b w:val="0"/>
          <w:bCs w:val="0"/>
          <w:color w:val="auto"/>
          <w:sz w:val="30"/>
          <w:szCs w:val="30"/>
          <w:lang w:val="en-US" w:eastAsia="zh-CN"/>
        </w:rPr>
        <w:t>邵阳市市</w:t>
      </w:r>
      <w:r>
        <w:rPr>
          <w:rFonts w:hint="eastAsia" w:ascii="仿宋" w:hAnsi="仿宋" w:eastAsia="仿宋" w:cs="仿宋"/>
          <w:b w:val="0"/>
          <w:bCs w:val="0"/>
          <w:color w:val="auto"/>
          <w:sz w:val="30"/>
          <w:szCs w:val="30"/>
          <w:lang w:eastAsia="zh-CN"/>
        </w:rPr>
        <w:t>土地储备中心（</w:t>
      </w:r>
      <w:r>
        <w:rPr>
          <w:rFonts w:hint="eastAsia" w:ascii="仿宋" w:hAnsi="仿宋" w:eastAsia="仿宋" w:cs="仿宋"/>
          <w:b w:val="0"/>
          <w:bCs w:val="0"/>
          <w:color w:val="auto"/>
          <w:sz w:val="30"/>
          <w:szCs w:val="30"/>
          <w:lang w:val="en-US" w:eastAsia="zh-CN"/>
        </w:rPr>
        <w:t>简称</w:t>
      </w:r>
    </w:p>
    <w:p w14:paraId="4374D2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0"/>
          <w:szCs w:val="30"/>
          <w:lang w:eastAsia="zh-CN"/>
        </w:rPr>
      </w:pPr>
      <w:r>
        <w:rPr>
          <w:rFonts w:hint="eastAsia" w:ascii="仿宋" w:hAnsi="仿宋" w:eastAsia="仿宋" w:cs="仿宋"/>
          <w:b w:val="0"/>
          <w:bCs w:val="0"/>
          <w:color w:val="auto"/>
          <w:sz w:val="30"/>
          <w:szCs w:val="30"/>
          <w:lang w:val="en-US" w:eastAsia="zh-CN"/>
        </w:rPr>
        <w:t>“邵阳市土地储备中心”</w:t>
      </w:r>
      <w:r>
        <w:rPr>
          <w:rFonts w:hint="eastAsia" w:ascii="仿宋" w:hAnsi="仿宋" w:eastAsia="仿宋" w:cs="仿宋"/>
          <w:b w:val="0"/>
          <w:bCs w:val="0"/>
          <w:color w:val="auto"/>
          <w:sz w:val="30"/>
          <w:szCs w:val="30"/>
          <w:lang w:eastAsia="zh-CN"/>
        </w:rPr>
        <w:t>）实施的</w:t>
      </w:r>
      <w:r>
        <w:rPr>
          <w:rFonts w:hint="eastAsia" w:ascii="仿宋" w:hAnsi="仿宋" w:eastAsia="仿宋" w:cs="仿宋"/>
          <w:color w:val="auto"/>
          <w:sz w:val="30"/>
          <w:szCs w:val="30"/>
          <w:lang w:val="en-US" w:eastAsia="zh-CN"/>
        </w:rPr>
        <w:t>2021年度宝庆新城商住区一期3-7#项目专项债务资金</w:t>
      </w:r>
      <w:r>
        <w:rPr>
          <w:rFonts w:hint="eastAsia" w:ascii="仿宋" w:hAnsi="仿宋" w:eastAsia="仿宋" w:cs="仿宋"/>
          <w:color w:val="auto"/>
          <w:sz w:val="30"/>
          <w:szCs w:val="30"/>
          <w:lang w:eastAsia="zh-CN"/>
        </w:rPr>
        <w:t>开展了绩效评价。现将评</w:t>
      </w:r>
      <w:r>
        <w:rPr>
          <w:rFonts w:hint="eastAsia" w:ascii="仿宋" w:hAnsi="仿宋" w:eastAsia="仿宋" w:cs="仿宋"/>
          <w:sz w:val="30"/>
          <w:szCs w:val="30"/>
          <w:lang w:eastAsia="zh-CN"/>
        </w:rPr>
        <w:t>价过程及结果报告如下：</w:t>
      </w:r>
    </w:p>
    <w:p w14:paraId="7CC018C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02" w:firstLineChars="200"/>
        <w:jc w:val="left"/>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rPr>
        <w:t>评价</w:t>
      </w:r>
      <w:r>
        <w:rPr>
          <w:rFonts w:hint="eastAsia" w:ascii="仿宋" w:hAnsi="仿宋" w:eastAsia="仿宋" w:cs="仿宋"/>
          <w:b/>
          <w:bCs/>
          <w:sz w:val="30"/>
          <w:szCs w:val="30"/>
          <w:lang w:eastAsia="zh-CN"/>
        </w:rPr>
        <w:t>概括</w:t>
      </w:r>
    </w:p>
    <w:p w14:paraId="33C04938">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为了如期、高质量地完成本项目专项债务资金绩效评价工作，湖南希望会计师事务所有限责任公司召开了相关专门会议，并从</w:t>
      </w:r>
    </w:p>
    <w:p w14:paraId="3EDFCEC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本所抽调部分精干力量成立了针对该专项资金的工作组，工作组</w:t>
      </w:r>
    </w:p>
    <w:p w14:paraId="1F7BCF3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 w:hAnsi="仿宋" w:eastAsia="仿宋" w:cs="仿宋"/>
          <w:b/>
          <w:bCs/>
          <w:sz w:val="30"/>
          <w:szCs w:val="30"/>
          <w:lang w:val="en-US" w:eastAsia="zh-CN"/>
        </w:rPr>
      </w:pPr>
      <w:r>
        <w:rPr>
          <w:rFonts w:hint="eastAsia" w:ascii="仿宋" w:hAnsi="仿宋" w:eastAsia="仿宋" w:cs="仿宋"/>
          <w:b w:val="0"/>
          <w:bCs w:val="0"/>
          <w:color w:val="auto"/>
          <w:sz w:val="30"/>
          <w:szCs w:val="30"/>
          <w:lang w:val="en-US" w:eastAsia="zh-CN"/>
        </w:rPr>
        <w:t>成员由张永山、段冬艳、周恩浩等人组成。张永山担任项目组组长，负责现场评价工作的组织、监督及与项目管理部门沟通，督促并协调评价小组成员的工作，在评价小组出现不同意见时充当协调人。评价小组于7月12日参加了邵阳市财政局相关会议，并按照邵阳市财政局《</w:t>
      </w:r>
      <w:r>
        <w:rPr>
          <w:rFonts w:hint="eastAsia" w:ascii="仿宋" w:hAnsi="仿宋" w:eastAsia="仿宋" w:cs="仿宋"/>
          <w:b w:val="0"/>
          <w:bCs w:val="0"/>
          <w:color w:val="auto"/>
          <w:sz w:val="30"/>
          <w:szCs w:val="30"/>
          <w:lang w:eastAsia="zh-CN"/>
        </w:rPr>
        <w:t>关于开展</w:t>
      </w:r>
      <w:r>
        <w:rPr>
          <w:rFonts w:hint="eastAsia" w:ascii="仿宋" w:hAnsi="仿宋" w:eastAsia="仿宋" w:cs="仿宋"/>
          <w:b w:val="0"/>
          <w:bCs w:val="0"/>
          <w:color w:val="auto"/>
          <w:sz w:val="30"/>
          <w:szCs w:val="30"/>
          <w:lang w:val="en-US" w:eastAsia="zh-CN"/>
        </w:rPr>
        <w:t>2021年度宝庆新城商住区一期3-7#专项资金绩效评价工作的通知</w:t>
      </w:r>
      <w:r>
        <w:rPr>
          <w:rFonts w:hint="eastAsia" w:ascii="仿宋" w:hAnsi="仿宋" w:eastAsia="仿宋" w:cs="仿宋"/>
          <w:b w:val="0"/>
          <w:bCs w:val="0"/>
          <w:color w:val="auto"/>
          <w:sz w:val="30"/>
          <w:szCs w:val="30"/>
          <w:lang w:eastAsia="zh-CN"/>
        </w:rPr>
        <w:t>》（邵财绩</w:t>
      </w:r>
      <w:r>
        <w:rPr>
          <w:rFonts w:hint="eastAsia" w:ascii="仿宋" w:hAnsi="仿宋" w:eastAsia="仿宋" w:cs="仿宋"/>
          <w:b w:val="0"/>
          <w:bCs w:val="0"/>
          <w:color w:val="auto"/>
          <w:sz w:val="30"/>
          <w:szCs w:val="30"/>
        </w:rPr>
        <w:t>〔20</w:t>
      </w:r>
      <w:r>
        <w:rPr>
          <w:rFonts w:hint="eastAsia" w:ascii="仿宋" w:hAnsi="仿宋" w:eastAsia="仿宋" w:cs="仿宋"/>
          <w:b w:val="0"/>
          <w:bCs w:val="0"/>
          <w:color w:val="auto"/>
          <w:sz w:val="30"/>
          <w:szCs w:val="30"/>
          <w:lang w:val="en-US" w:eastAsia="zh-CN"/>
        </w:rPr>
        <w:t>22</w:t>
      </w:r>
      <w:r>
        <w:rPr>
          <w:rFonts w:hint="eastAsia" w:ascii="仿宋" w:hAnsi="仿宋" w:eastAsia="仿宋" w:cs="仿宋"/>
          <w:b w:val="0"/>
          <w:bCs w:val="0"/>
          <w:color w:val="auto"/>
          <w:sz w:val="30"/>
          <w:szCs w:val="30"/>
        </w:rPr>
        <w:t>〕</w:t>
      </w:r>
      <w:r>
        <w:rPr>
          <w:rFonts w:hint="eastAsia" w:ascii="仿宋" w:hAnsi="仿宋" w:eastAsia="仿宋" w:cs="仿宋"/>
          <w:b w:val="0"/>
          <w:bCs w:val="0"/>
          <w:color w:val="auto"/>
          <w:sz w:val="30"/>
          <w:szCs w:val="30"/>
          <w:lang w:val="en-US" w:eastAsia="zh-CN"/>
        </w:rPr>
        <w:t>20</w:t>
      </w:r>
      <w:r>
        <w:rPr>
          <w:rFonts w:hint="eastAsia" w:ascii="仿宋" w:hAnsi="仿宋" w:eastAsia="仿宋" w:cs="仿宋"/>
          <w:b w:val="0"/>
          <w:bCs w:val="0"/>
          <w:color w:val="auto"/>
          <w:sz w:val="30"/>
          <w:szCs w:val="30"/>
        </w:rPr>
        <w:t>号</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》的</w:t>
      </w:r>
      <w:r>
        <w:rPr>
          <w:rFonts w:hint="eastAsia" w:ascii="仿宋" w:hAnsi="仿宋" w:eastAsia="仿宋" w:cs="仿宋"/>
          <w:b w:val="0"/>
          <w:bCs w:val="0"/>
          <w:color w:val="auto"/>
          <w:sz w:val="32"/>
          <w:szCs w:val="32"/>
          <w:lang w:val="en-US" w:eastAsia="zh-CN"/>
        </w:rPr>
        <w:t>相关要求，具体制定了本项目绩效评价工作方案，项目组于7月13日进入项目实施单位开展现场评价，7月23日现场评价工作结束。评价过程中，项目实施单位按照项目组相关要求及时提供了相关资料，并给与了项目组积极的配合与支持，绩效评价工作顺利进行。</w:t>
      </w:r>
    </w:p>
    <w:p w14:paraId="616960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二、基本情况</w:t>
      </w:r>
    </w:p>
    <w:p w14:paraId="54802757">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项目实施单位基本情况</w:t>
      </w:r>
    </w:p>
    <w:p w14:paraId="703654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邵阳市土地储备中心成立于2002年，属财政全额拨款副处级事业单位，隶属</w:t>
      </w:r>
      <w:r>
        <w:rPr>
          <w:rFonts w:hint="eastAsia" w:ascii="仿宋" w:hAnsi="仿宋" w:eastAsia="仿宋" w:cs="仿宋"/>
          <w:color w:val="000000"/>
          <w:sz w:val="30"/>
          <w:szCs w:val="30"/>
          <w:lang w:eastAsia="zh-CN"/>
        </w:rPr>
        <w:t>于</w:t>
      </w:r>
      <w:r>
        <w:rPr>
          <w:rFonts w:hint="eastAsia" w:ascii="仿宋" w:hAnsi="仿宋" w:eastAsia="仿宋" w:cs="仿宋"/>
          <w:color w:val="000000"/>
          <w:sz w:val="30"/>
          <w:szCs w:val="30"/>
        </w:rPr>
        <w:t>邵阳市</w:t>
      </w:r>
      <w:r>
        <w:rPr>
          <w:rFonts w:hint="eastAsia" w:ascii="仿宋" w:hAnsi="仿宋" w:eastAsia="仿宋" w:cs="仿宋"/>
          <w:color w:val="000000"/>
          <w:sz w:val="30"/>
          <w:szCs w:val="30"/>
          <w:lang w:eastAsia="zh-CN"/>
        </w:rPr>
        <w:t>自然</w:t>
      </w:r>
      <w:r>
        <w:rPr>
          <w:rFonts w:hint="eastAsia" w:ascii="仿宋" w:hAnsi="仿宋" w:eastAsia="仿宋" w:cs="仿宋"/>
          <w:color w:val="000000"/>
          <w:sz w:val="30"/>
          <w:szCs w:val="30"/>
        </w:rPr>
        <w:t>资源</w:t>
      </w:r>
      <w:r>
        <w:rPr>
          <w:rFonts w:hint="eastAsia" w:ascii="仿宋" w:hAnsi="仿宋" w:eastAsia="仿宋" w:cs="仿宋"/>
          <w:color w:val="000000"/>
          <w:sz w:val="30"/>
          <w:szCs w:val="30"/>
          <w:lang w:eastAsia="zh-CN"/>
        </w:rPr>
        <w:t>和规划</w:t>
      </w:r>
      <w:r>
        <w:rPr>
          <w:rFonts w:hint="eastAsia" w:ascii="仿宋" w:hAnsi="仿宋" w:eastAsia="仿宋" w:cs="仿宋"/>
          <w:color w:val="000000"/>
          <w:sz w:val="30"/>
          <w:szCs w:val="30"/>
        </w:rPr>
        <w:t>局</w:t>
      </w:r>
      <w:r>
        <w:rPr>
          <w:rFonts w:hint="eastAsia" w:ascii="仿宋" w:hAnsi="仿宋" w:eastAsia="仿宋" w:cs="仿宋"/>
          <w:color w:val="000000"/>
          <w:sz w:val="30"/>
          <w:szCs w:val="30"/>
          <w:lang w:eastAsia="zh-CN"/>
        </w:rPr>
        <w:t>，统一社会信用代码</w:t>
      </w:r>
      <w:r>
        <w:rPr>
          <w:rFonts w:hint="eastAsia" w:ascii="仿宋" w:hAnsi="仿宋" w:eastAsia="仿宋" w:cs="仿宋"/>
          <w:color w:val="000000"/>
          <w:sz w:val="30"/>
          <w:szCs w:val="30"/>
          <w:lang w:val="en-US" w:eastAsia="zh-CN"/>
        </w:rPr>
        <w:t>124305004488114260，法定代表人王延良，开办资金人民币5,000.00万元，主要职责</w:t>
      </w:r>
      <w:r>
        <w:rPr>
          <w:rFonts w:hint="eastAsia" w:ascii="仿宋" w:hAnsi="仿宋" w:eastAsia="仿宋" w:cs="仿宋"/>
          <w:color w:val="000000"/>
          <w:sz w:val="30"/>
          <w:szCs w:val="30"/>
        </w:rPr>
        <w:t>为依法收储存量土地，报批并储备以出让方式供地的新增建设用地，负责储备土地的前期开发工作</w:t>
      </w:r>
      <w:r>
        <w:rPr>
          <w:rFonts w:hint="eastAsia" w:ascii="仿宋" w:hAnsi="仿宋" w:eastAsia="仿宋" w:cs="仿宋"/>
          <w:color w:val="000000"/>
          <w:sz w:val="30"/>
          <w:szCs w:val="30"/>
          <w:lang w:eastAsia="zh-CN"/>
        </w:rPr>
        <w:t>。</w:t>
      </w:r>
    </w:p>
    <w:p w14:paraId="0EBF68A0">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项目基本情况</w:t>
      </w:r>
    </w:p>
    <w:p w14:paraId="466C99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eastAsia="zh-CN"/>
        </w:rPr>
        <w:t>邵阳</w:t>
      </w:r>
      <w:r>
        <w:rPr>
          <w:rFonts w:hint="eastAsia" w:ascii="仿宋" w:hAnsi="仿宋" w:eastAsia="仿宋" w:cs="仿宋"/>
          <w:sz w:val="30"/>
          <w:szCs w:val="30"/>
        </w:rPr>
        <w:t>市</w:t>
      </w:r>
      <w:r>
        <w:rPr>
          <w:rFonts w:hint="eastAsia" w:ascii="仿宋" w:hAnsi="仿宋" w:eastAsia="仿宋" w:cs="仿宋"/>
          <w:sz w:val="30"/>
          <w:szCs w:val="30"/>
          <w:lang w:val="en-US" w:eastAsia="zh-CN"/>
        </w:rPr>
        <w:t>宝庆新城商住区一期3-7#项目系湖南省财政厅“2018年湖南省土地储备专项债券（一期）—2018年湖南省政府专项债券（八期）”募投项目，项目基本性质为“有自身收益”的公益性项目，项目类型属于土地储备专项债券，用途为新建商住用地，主要内容为新增建设用地成本，包括报批费用，征地费用，房屋拆迁补偿费，五通一平相关费用。</w:t>
      </w:r>
    </w:p>
    <w:p w14:paraId="1002F0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项目原定开发面积24852</w:t>
      </w:r>
      <w:r>
        <w:rPr>
          <w:rFonts w:hint="eastAsia" w:ascii="宋体" w:hAnsi="宋体" w:eastAsia="宋体" w:cs="宋体"/>
          <w:sz w:val="30"/>
          <w:szCs w:val="30"/>
          <w:lang w:val="en-US" w:eastAsia="zh-CN"/>
        </w:rPr>
        <w:t>㎡</w:t>
      </w:r>
      <w:r>
        <w:rPr>
          <w:rFonts w:hint="eastAsia" w:ascii="仿宋" w:hAnsi="仿宋" w:eastAsia="仿宋" w:cs="仿宋"/>
          <w:sz w:val="30"/>
          <w:szCs w:val="30"/>
          <w:lang w:val="en-US" w:eastAsia="zh-CN"/>
        </w:rPr>
        <w:t>，2019年11月收储，计划于2023年5月进行土地出让。该项目实际开发面积为24851.30</w:t>
      </w:r>
      <w:r>
        <w:rPr>
          <w:rFonts w:hint="eastAsia" w:ascii="宋体" w:hAnsi="宋体" w:eastAsia="宋体" w:cs="宋体"/>
          <w:sz w:val="30"/>
          <w:szCs w:val="30"/>
          <w:lang w:val="en-US" w:eastAsia="zh-CN"/>
        </w:rPr>
        <w:t>㎡，</w:t>
      </w:r>
      <w:r>
        <w:rPr>
          <w:rFonts w:hint="eastAsia" w:ascii="仿宋" w:hAnsi="仿宋" w:eastAsia="仿宋" w:cs="仿宋"/>
          <w:sz w:val="30"/>
          <w:szCs w:val="30"/>
          <w:lang w:val="en-US" w:eastAsia="zh-CN"/>
        </w:rPr>
        <w:t>2020年7月启动征地拆迁工作，截止2021年年底，尚未结算本项目地块开发成本。但该地块于2020年12月已出让，原预计土地出让收入人民币7,337.63万元，现实际土地出让收入为人民币9,870.00万元。</w:t>
      </w:r>
    </w:p>
    <w:p w14:paraId="2BB1D3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jc w:val="both"/>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三、项目资金预算及筹资情况</w:t>
      </w:r>
    </w:p>
    <w:p w14:paraId="7ACF02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（一）项目资金预算情况</w:t>
      </w:r>
    </w:p>
    <w:p w14:paraId="55DB58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jc w:val="left"/>
        <w:textAlignment w:val="auto"/>
        <w:rPr>
          <w:rFonts w:hint="default" w:ascii="仿宋" w:hAnsi="仿宋" w:eastAsia="仿宋" w:cs="仿宋"/>
          <w:sz w:val="30"/>
          <w:szCs w:val="30"/>
          <w:lang w:val="en-US" w:eastAsia="zh-CN"/>
        </w:rPr>
      </w:pPr>
      <w:r>
        <w:rPr>
          <w:rFonts w:hint="eastAsia" w:ascii="仿宋" w:hAnsi="仿宋" w:eastAsia="仿宋" w:cs="仿宋"/>
          <w:sz w:val="30"/>
          <w:szCs w:val="30"/>
          <w:lang w:eastAsia="zh-CN"/>
        </w:rPr>
        <w:t>邵阳</w:t>
      </w:r>
      <w:r>
        <w:rPr>
          <w:rFonts w:hint="eastAsia" w:ascii="仿宋" w:hAnsi="仿宋" w:eastAsia="仿宋" w:cs="仿宋"/>
          <w:sz w:val="30"/>
          <w:szCs w:val="30"/>
        </w:rPr>
        <w:t>市</w:t>
      </w:r>
      <w:r>
        <w:rPr>
          <w:rFonts w:hint="eastAsia" w:ascii="仿宋" w:hAnsi="仿宋" w:eastAsia="仿宋" w:cs="仿宋"/>
          <w:sz w:val="30"/>
          <w:szCs w:val="30"/>
          <w:lang w:val="en-US" w:eastAsia="zh-CN"/>
        </w:rPr>
        <w:t>宝庆新城商住区一期3-7#项目</w:t>
      </w:r>
      <w:r>
        <w:rPr>
          <w:rFonts w:hint="eastAsia" w:ascii="仿宋" w:hAnsi="仿宋" w:eastAsia="仿宋" w:cs="仿宋"/>
          <w:b w:val="0"/>
          <w:bCs/>
          <w:sz w:val="30"/>
          <w:szCs w:val="30"/>
          <w:lang w:val="en-US" w:eastAsia="zh-CN"/>
        </w:rPr>
        <w:t>由</w:t>
      </w:r>
      <w:r>
        <w:rPr>
          <w:rFonts w:hint="eastAsia" w:ascii="仿宋" w:hAnsi="仿宋" w:eastAsia="仿宋" w:cs="仿宋"/>
          <w:b w:val="0"/>
          <w:bCs w:val="0"/>
          <w:color w:val="535353"/>
          <w:kern w:val="0"/>
          <w:sz w:val="30"/>
          <w:szCs w:val="30"/>
          <w:lang w:val="en-US" w:eastAsia="zh-CN"/>
        </w:rPr>
        <w:t>邵阳市土地储备中心</w:t>
      </w:r>
      <w:r>
        <w:rPr>
          <w:rFonts w:hint="eastAsia" w:ascii="仿宋" w:hAnsi="仿宋" w:eastAsia="仿宋" w:cs="仿宋"/>
          <w:b w:val="0"/>
          <w:bCs/>
          <w:sz w:val="30"/>
          <w:szCs w:val="30"/>
          <w:lang w:val="en-US" w:eastAsia="zh-CN"/>
        </w:rPr>
        <w:t>负责组织实施，</w:t>
      </w:r>
      <w:r>
        <w:rPr>
          <w:rFonts w:hint="eastAsia" w:ascii="仿宋" w:hAnsi="仿宋" w:eastAsia="仿宋" w:cs="仿宋"/>
          <w:sz w:val="30"/>
          <w:szCs w:val="30"/>
          <w:lang w:val="en-US" w:eastAsia="zh-CN"/>
        </w:rPr>
        <w:t>预算总资金需求人民币2,295.94万元，其中报批费用395.17万元，征地费用440.69万元，拆迁补偿费1,236.40万元，场地平整费223.68万元，前述情况汇总列表如下：</w:t>
      </w:r>
    </w:p>
    <w:p w14:paraId="4B591E4F">
      <w:pPr>
        <w:numPr>
          <w:ilvl w:val="0"/>
          <w:numId w:val="0"/>
        </w:numPr>
        <w:ind w:leftChars="200"/>
        <w:jc w:val="right"/>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28"/>
          <w:szCs w:val="28"/>
          <w:lang w:val="en-US" w:eastAsia="zh-CN"/>
        </w:rPr>
        <w:t xml:space="preserve">项目资金预算一览表               </w:t>
      </w:r>
      <w:r>
        <w:rPr>
          <w:rFonts w:hint="eastAsia" w:ascii="仿宋" w:hAnsi="仿宋" w:eastAsia="仿宋" w:cs="仿宋"/>
          <w:b w:val="0"/>
          <w:bCs w:val="0"/>
          <w:color w:val="auto"/>
          <w:sz w:val="21"/>
          <w:szCs w:val="21"/>
          <w:lang w:val="en-US" w:eastAsia="zh-CN"/>
        </w:rPr>
        <w:t xml:space="preserve"> 单位：万元</w:t>
      </w:r>
    </w:p>
    <w:tbl>
      <w:tblPr>
        <w:tblStyle w:val="6"/>
        <w:tblW w:w="833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15"/>
        <w:gridCol w:w="4119"/>
      </w:tblGrid>
      <w:tr w14:paraId="7FE45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15" w:type="dxa"/>
            <w:tcBorders>
              <w:top w:val="double" w:color="000000" w:sz="4" w:space="0"/>
              <w:left w:val="nil"/>
              <w:bottom w:val="single" w:color="000000" w:sz="4" w:space="0"/>
              <w:right w:val="dotted" w:color="000000" w:sz="4" w:space="0"/>
            </w:tcBorders>
            <w:shd w:val="clear" w:color="auto" w:fill="auto"/>
            <w:noWrap/>
            <w:vAlign w:val="center"/>
          </w:tcPr>
          <w:p w14:paraId="1FE88B71">
            <w:pPr>
              <w:keepNext w:val="0"/>
              <w:keepLines w:val="0"/>
              <w:widowControl/>
              <w:suppressLineNumbers w:val="0"/>
              <w:jc w:val="left"/>
              <w:textAlignment w:val="center"/>
              <w:rPr>
                <w:rFonts w:hint="eastAsia" w:ascii="仿宋" w:hAnsi="仿宋" w:eastAsia="仿宋" w:cs="仿宋"/>
                <w:b w:val="0"/>
                <w:bCs w:val="0"/>
                <w:i w:val="0"/>
                <w:iCs w:val="0"/>
                <w:color w:val="000000"/>
                <w:kern w:val="0"/>
                <w:sz w:val="22"/>
                <w:szCs w:val="22"/>
                <w:u w:val="none"/>
                <w:lang w:val="en-US" w:eastAsia="zh-CN" w:bidi="ar"/>
              </w:rPr>
            </w:pPr>
            <w:r>
              <w:rPr>
                <w:rFonts w:hint="eastAsia" w:ascii="仿宋" w:hAnsi="仿宋" w:eastAsia="仿宋" w:cs="仿宋"/>
                <w:b w:val="0"/>
                <w:bCs w:val="0"/>
                <w:i w:val="0"/>
                <w:iCs w:val="0"/>
                <w:color w:val="000000"/>
                <w:kern w:val="0"/>
                <w:sz w:val="22"/>
                <w:szCs w:val="22"/>
                <w:u w:val="none"/>
                <w:lang w:val="en-US" w:eastAsia="zh-CN" w:bidi="ar"/>
              </w:rPr>
              <w:t>项目名称</w:t>
            </w:r>
          </w:p>
        </w:tc>
        <w:tc>
          <w:tcPr>
            <w:tcW w:w="4119" w:type="dxa"/>
            <w:tcBorders>
              <w:top w:val="double" w:color="000000" w:sz="4" w:space="0"/>
              <w:left w:val="dotted" w:color="000000" w:sz="4" w:space="0"/>
              <w:bottom w:val="single" w:color="000000" w:sz="4" w:space="0"/>
              <w:right w:val="nil"/>
            </w:tcBorders>
            <w:shd w:val="clear" w:color="auto" w:fill="auto"/>
            <w:noWrap/>
            <w:vAlign w:val="center"/>
          </w:tcPr>
          <w:p w14:paraId="02B218D1">
            <w:pPr>
              <w:keepNext w:val="0"/>
              <w:keepLines w:val="0"/>
              <w:widowControl/>
              <w:suppressLineNumbers w:val="0"/>
              <w:jc w:val="right"/>
              <w:textAlignment w:val="center"/>
              <w:rPr>
                <w:rFonts w:hint="eastAsia" w:ascii="仿宋" w:hAnsi="仿宋" w:eastAsia="仿宋" w:cs="仿宋"/>
                <w:b w:val="0"/>
                <w:bCs w:val="0"/>
                <w:i w:val="0"/>
                <w:iCs w:val="0"/>
                <w:color w:val="000000"/>
                <w:kern w:val="0"/>
                <w:sz w:val="22"/>
                <w:szCs w:val="22"/>
                <w:u w:val="none"/>
                <w:lang w:val="en-US" w:eastAsia="zh-CN" w:bidi="ar"/>
              </w:rPr>
            </w:pPr>
            <w:r>
              <w:rPr>
                <w:rFonts w:hint="eastAsia" w:ascii="仿宋" w:hAnsi="仿宋" w:eastAsia="仿宋" w:cs="仿宋"/>
                <w:b w:val="0"/>
                <w:bCs w:val="0"/>
                <w:i w:val="0"/>
                <w:iCs w:val="0"/>
                <w:color w:val="000000"/>
                <w:kern w:val="0"/>
                <w:sz w:val="22"/>
                <w:szCs w:val="22"/>
                <w:u w:val="none"/>
                <w:lang w:val="en-US" w:eastAsia="zh-CN" w:bidi="ar"/>
              </w:rPr>
              <w:t>预算金额</w:t>
            </w:r>
          </w:p>
        </w:tc>
      </w:tr>
      <w:tr w14:paraId="2F338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15" w:type="dxa"/>
            <w:tcBorders>
              <w:top w:val="single" w:color="000000" w:sz="4" w:space="0"/>
              <w:left w:val="nil"/>
              <w:bottom w:val="dotted" w:color="000000" w:sz="4" w:space="0"/>
              <w:right w:val="dotted" w:color="000000" w:sz="4" w:space="0"/>
            </w:tcBorders>
            <w:shd w:val="clear" w:color="auto" w:fill="auto"/>
            <w:noWrap/>
            <w:vAlign w:val="center"/>
          </w:tcPr>
          <w:p w14:paraId="2831D43F">
            <w:pPr>
              <w:keepNext w:val="0"/>
              <w:keepLines w:val="0"/>
              <w:widowControl/>
              <w:suppressLineNumbers w:val="0"/>
              <w:jc w:val="left"/>
              <w:textAlignment w:val="center"/>
              <w:rPr>
                <w:rFonts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1、报批费用</w:t>
            </w:r>
          </w:p>
        </w:tc>
        <w:tc>
          <w:tcPr>
            <w:tcW w:w="4119" w:type="dxa"/>
            <w:tcBorders>
              <w:top w:val="single" w:color="000000" w:sz="4" w:space="0"/>
              <w:left w:val="dotted" w:color="000000" w:sz="4" w:space="0"/>
              <w:bottom w:val="dotted" w:color="000000" w:sz="4" w:space="0"/>
              <w:right w:val="nil"/>
            </w:tcBorders>
            <w:shd w:val="clear" w:color="auto" w:fill="auto"/>
            <w:noWrap/>
            <w:vAlign w:val="center"/>
          </w:tcPr>
          <w:p w14:paraId="10B9066C">
            <w:pPr>
              <w:keepNext w:val="0"/>
              <w:keepLines w:val="0"/>
              <w:widowControl/>
              <w:suppressLineNumbers w:val="0"/>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395.17 </w:t>
            </w:r>
          </w:p>
        </w:tc>
      </w:tr>
      <w:tr w14:paraId="00F33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15" w:type="dxa"/>
            <w:tcBorders>
              <w:top w:val="dotted" w:color="000000" w:sz="4" w:space="0"/>
              <w:left w:val="nil"/>
              <w:bottom w:val="dotted" w:color="000000" w:sz="4" w:space="0"/>
              <w:right w:val="dotted" w:color="000000" w:sz="4" w:space="0"/>
            </w:tcBorders>
            <w:shd w:val="clear" w:color="auto" w:fill="auto"/>
            <w:noWrap/>
            <w:vAlign w:val="center"/>
          </w:tcPr>
          <w:p w14:paraId="1D05E66A">
            <w:pPr>
              <w:keepNext w:val="0"/>
              <w:keepLines w:val="0"/>
              <w:widowControl/>
              <w:suppressLineNumbers w:val="0"/>
              <w:jc w:val="lef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2、征地费用</w:t>
            </w:r>
          </w:p>
        </w:tc>
        <w:tc>
          <w:tcPr>
            <w:tcW w:w="4119" w:type="dxa"/>
            <w:tcBorders>
              <w:top w:val="dotted" w:color="000000" w:sz="4" w:space="0"/>
              <w:left w:val="dotted" w:color="000000" w:sz="4" w:space="0"/>
              <w:bottom w:val="dotted" w:color="000000" w:sz="4" w:space="0"/>
              <w:right w:val="nil"/>
            </w:tcBorders>
            <w:shd w:val="clear" w:color="auto" w:fill="auto"/>
            <w:noWrap/>
            <w:vAlign w:val="center"/>
          </w:tcPr>
          <w:p w14:paraId="70AE6A35">
            <w:pPr>
              <w:keepNext w:val="0"/>
              <w:keepLines w:val="0"/>
              <w:widowControl/>
              <w:suppressLineNumbers w:val="0"/>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440.69 </w:t>
            </w:r>
          </w:p>
        </w:tc>
      </w:tr>
      <w:tr w14:paraId="0CA49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15" w:type="dxa"/>
            <w:tcBorders>
              <w:top w:val="dotted" w:color="000000" w:sz="4" w:space="0"/>
              <w:left w:val="nil"/>
              <w:bottom w:val="dotted" w:color="000000" w:sz="4" w:space="0"/>
              <w:right w:val="dotted" w:color="000000" w:sz="4" w:space="0"/>
            </w:tcBorders>
            <w:shd w:val="clear" w:color="auto" w:fill="auto"/>
            <w:noWrap/>
            <w:vAlign w:val="center"/>
          </w:tcPr>
          <w:p w14:paraId="4B61DB30">
            <w:pPr>
              <w:keepNext w:val="0"/>
              <w:keepLines w:val="0"/>
              <w:widowControl/>
              <w:suppressLineNumbers w:val="0"/>
              <w:jc w:val="lef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3、拆迁补偿费</w:t>
            </w:r>
          </w:p>
        </w:tc>
        <w:tc>
          <w:tcPr>
            <w:tcW w:w="4119" w:type="dxa"/>
            <w:tcBorders>
              <w:top w:val="dotted" w:color="000000" w:sz="4" w:space="0"/>
              <w:left w:val="dotted" w:color="000000" w:sz="4" w:space="0"/>
              <w:bottom w:val="dotted" w:color="000000" w:sz="4" w:space="0"/>
              <w:right w:val="nil"/>
            </w:tcBorders>
            <w:shd w:val="clear" w:color="auto" w:fill="auto"/>
            <w:noWrap/>
            <w:vAlign w:val="center"/>
          </w:tcPr>
          <w:p w14:paraId="74845B13">
            <w:pPr>
              <w:keepNext w:val="0"/>
              <w:keepLines w:val="0"/>
              <w:widowControl/>
              <w:suppressLineNumbers w:val="0"/>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1,236.40 </w:t>
            </w:r>
          </w:p>
        </w:tc>
      </w:tr>
      <w:tr w14:paraId="5C3F2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215" w:type="dxa"/>
            <w:tcBorders>
              <w:top w:val="dotted" w:color="000000" w:sz="4" w:space="0"/>
              <w:left w:val="nil"/>
              <w:bottom w:val="single" w:color="000000" w:sz="4" w:space="0"/>
              <w:right w:val="dotted" w:color="000000" w:sz="4" w:space="0"/>
            </w:tcBorders>
            <w:shd w:val="clear" w:color="auto" w:fill="auto"/>
            <w:noWrap/>
            <w:vAlign w:val="center"/>
          </w:tcPr>
          <w:p w14:paraId="4A7809B2">
            <w:pPr>
              <w:keepNext w:val="0"/>
              <w:keepLines w:val="0"/>
              <w:widowControl/>
              <w:suppressLineNumbers w:val="0"/>
              <w:jc w:val="lef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4、场地平整费</w:t>
            </w:r>
          </w:p>
        </w:tc>
        <w:tc>
          <w:tcPr>
            <w:tcW w:w="4119" w:type="dxa"/>
            <w:tcBorders>
              <w:top w:val="dotted" w:color="000000" w:sz="4" w:space="0"/>
              <w:left w:val="dotted" w:color="000000" w:sz="4" w:space="0"/>
              <w:bottom w:val="single" w:color="000000" w:sz="4" w:space="0"/>
              <w:right w:val="nil"/>
            </w:tcBorders>
            <w:shd w:val="clear" w:color="auto" w:fill="auto"/>
            <w:noWrap/>
            <w:vAlign w:val="center"/>
          </w:tcPr>
          <w:p w14:paraId="1B439B3A">
            <w:pPr>
              <w:keepNext w:val="0"/>
              <w:keepLines w:val="0"/>
              <w:widowControl/>
              <w:suppressLineNumbers w:val="0"/>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223.68 </w:t>
            </w:r>
          </w:p>
        </w:tc>
      </w:tr>
      <w:tr w14:paraId="7AFD9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15" w:type="dxa"/>
            <w:tcBorders>
              <w:top w:val="single" w:color="000000" w:sz="4" w:space="0"/>
              <w:left w:val="nil"/>
              <w:bottom w:val="double" w:color="000000" w:sz="4" w:space="0"/>
              <w:right w:val="dotted" w:color="000000" w:sz="4" w:space="0"/>
            </w:tcBorders>
            <w:shd w:val="clear" w:color="auto" w:fill="auto"/>
            <w:noWrap/>
            <w:vAlign w:val="center"/>
          </w:tcPr>
          <w:p w14:paraId="11A55FE3">
            <w:pPr>
              <w:keepNext w:val="0"/>
              <w:keepLines w:val="0"/>
              <w:widowControl/>
              <w:suppressLineNumbers w:val="0"/>
              <w:jc w:val="lef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合计</w:t>
            </w:r>
          </w:p>
        </w:tc>
        <w:tc>
          <w:tcPr>
            <w:tcW w:w="4119" w:type="dxa"/>
            <w:tcBorders>
              <w:top w:val="single" w:color="000000" w:sz="4" w:space="0"/>
              <w:left w:val="dotted" w:color="000000" w:sz="4" w:space="0"/>
              <w:bottom w:val="double" w:color="000000" w:sz="4" w:space="0"/>
              <w:right w:val="nil"/>
            </w:tcBorders>
            <w:shd w:val="clear" w:color="auto" w:fill="auto"/>
            <w:noWrap/>
            <w:vAlign w:val="center"/>
          </w:tcPr>
          <w:p w14:paraId="4E929B87">
            <w:pPr>
              <w:keepNext w:val="0"/>
              <w:keepLines w:val="0"/>
              <w:widowControl/>
              <w:suppressLineNumbers w:val="0"/>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2,295.94 </w:t>
            </w:r>
          </w:p>
        </w:tc>
      </w:tr>
    </w:tbl>
    <w:p w14:paraId="00D775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（二）筹资情况</w:t>
      </w:r>
    </w:p>
    <w:p w14:paraId="6CF5BB5B">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left"/>
        <w:textAlignment w:val="auto"/>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本项目预算资金合计人民币</w:t>
      </w:r>
      <w:r>
        <w:rPr>
          <w:rFonts w:hint="eastAsia" w:ascii="仿宋" w:hAnsi="仿宋" w:eastAsia="仿宋" w:cs="仿宋"/>
          <w:b w:val="0"/>
          <w:bCs w:val="0"/>
          <w:color w:val="auto"/>
          <w:sz w:val="30"/>
          <w:szCs w:val="30"/>
          <w:lang w:val="en-US" w:eastAsia="zh-CN"/>
        </w:rPr>
        <w:t>2,295.94</w:t>
      </w:r>
      <w:r>
        <w:rPr>
          <w:rFonts w:hint="eastAsia" w:ascii="仿宋" w:hAnsi="仿宋" w:eastAsia="仿宋" w:cs="仿宋"/>
          <w:b w:val="0"/>
          <w:bCs/>
          <w:sz w:val="30"/>
          <w:szCs w:val="30"/>
          <w:lang w:val="en-US" w:eastAsia="zh-CN"/>
        </w:rPr>
        <w:t>万元，由</w:t>
      </w:r>
      <w:r>
        <w:rPr>
          <w:rFonts w:hint="eastAsia" w:ascii="仿宋" w:hAnsi="仿宋" w:eastAsia="仿宋" w:cs="仿宋"/>
          <w:b w:val="0"/>
          <w:bCs w:val="0"/>
          <w:color w:val="535353"/>
          <w:kern w:val="0"/>
          <w:sz w:val="30"/>
          <w:szCs w:val="30"/>
          <w:lang w:val="en-US" w:eastAsia="zh-CN"/>
        </w:rPr>
        <w:t>邵阳市土地储备中心</w:t>
      </w:r>
      <w:r>
        <w:rPr>
          <w:rFonts w:hint="eastAsia" w:ascii="仿宋" w:hAnsi="仿宋" w:eastAsia="仿宋" w:cs="仿宋"/>
          <w:b w:val="0"/>
          <w:bCs/>
          <w:sz w:val="30"/>
          <w:szCs w:val="30"/>
          <w:lang w:val="en-US" w:eastAsia="zh-CN"/>
        </w:rPr>
        <w:t>负责组织实施，项目实施期间为2019年至2020年（其中2019年计划投资1,836.75万元，2020年计划投资459.19万元）。资金来源：</w:t>
      </w:r>
    </w:p>
    <w:p w14:paraId="46B17A91">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left"/>
        <w:textAlignment w:val="auto"/>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1、自有资金人民币695.94万元；</w:t>
      </w:r>
    </w:p>
    <w:p w14:paraId="76DF593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b w:val="0"/>
          <w:bCs/>
          <w:sz w:val="30"/>
          <w:szCs w:val="30"/>
          <w:lang w:val="en-US" w:eastAsia="zh-CN"/>
        </w:rPr>
        <w:t>2、申请发行政府专项债券人民币1,600.00万元（2019年湖南省土地储备专项债券-2019年湖南省政府专项债券，债券期限5年），该债券资金系本次绩效评价专项资金。</w:t>
      </w:r>
      <w:r>
        <w:rPr>
          <w:rFonts w:hint="eastAsia" w:ascii="仿宋" w:hAnsi="仿宋" w:eastAsia="仿宋" w:cs="仿宋"/>
          <w:sz w:val="30"/>
          <w:szCs w:val="30"/>
          <w:lang w:val="en-US" w:eastAsia="zh-CN"/>
        </w:rPr>
        <w:t>此次债券发行金额为人民币1,600.00万元，实际到位资金人民币1,600.00万元。</w:t>
      </w:r>
    </w:p>
    <w:p w14:paraId="011A81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预计土地出让收入人民币7,337.63万元，偿债资金（还本付息）为土地出让收入。</w:t>
      </w:r>
    </w:p>
    <w:p w14:paraId="5D8C8F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jc w:val="both"/>
        <w:textAlignment w:val="auto"/>
        <w:rPr>
          <w:rFonts w:hint="eastAsia" w:ascii="仿宋" w:hAnsi="仿宋" w:eastAsia="仿宋" w:cs="仿宋"/>
          <w:b/>
          <w:bCs/>
          <w:color w:val="000000"/>
          <w:sz w:val="30"/>
          <w:szCs w:val="30"/>
          <w:lang w:eastAsia="zh-CN"/>
        </w:rPr>
      </w:pPr>
      <w:r>
        <w:rPr>
          <w:rFonts w:hint="eastAsia" w:ascii="仿宋" w:hAnsi="仿宋" w:eastAsia="仿宋" w:cs="仿宋"/>
          <w:b/>
          <w:bCs/>
          <w:color w:val="000000"/>
          <w:sz w:val="30"/>
          <w:szCs w:val="30"/>
          <w:lang w:eastAsia="zh-CN"/>
        </w:rPr>
        <w:t>四、项目支出情况</w:t>
      </w:r>
    </w:p>
    <w:p w14:paraId="448E08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（一）</w:t>
      </w:r>
      <w:r>
        <w:rPr>
          <w:rFonts w:hint="eastAsia" w:ascii="仿宋" w:hAnsi="仿宋" w:eastAsia="仿宋" w:cs="仿宋"/>
          <w:color w:val="000000"/>
          <w:sz w:val="30"/>
          <w:szCs w:val="30"/>
        </w:rPr>
        <w:t>邵阳市土地储备中心</w:t>
      </w:r>
      <w:r>
        <w:rPr>
          <w:rFonts w:hint="eastAsia" w:ascii="仿宋" w:hAnsi="仿宋" w:eastAsia="仿宋" w:cs="仿宋"/>
          <w:color w:val="000000"/>
          <w:sz w:val="30"/>
          <w:szCs w:val="30"/>
          <w:lang w:eastAsia="zh-CN"/>
        </w:rPr>
        <w:t>支出情况</w:t>
      </w:r>
    </w:p>
    <w:p w14:paraId="5AE1EE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该项目由</w:t>
      </w:r>
      <w:r>
        <w:rPr>
          <w:rFonts w:hint="eastAsia" w:ascii="仿宋" w:hAnsi="仿宋" w:eastAsia="仿宋" w:cs="仿宋"/>
          <w:color w:val="000000"/>
          <w:sz w:val="30"/>
          <w:szCs w:val="30"/>
          <w:lang w:eastAsia="zh-CN"/>
        </w:rPr>
        <w:t>邵阳市征地拆迁事务处代为实施，</w:t>
      </w:r>
      <w:r>
        <w:rPr>
          <w:rFonts w:hint="eastAsia" w:ascii="仿宋" w:hAnsi="仿宋" w:eastAsia="仿宋" w:cs="仿宋"/>
          <w:color w:val="000000"/>
          <w:sz w:val="30"/>
          <w:szCs w:val="30"/>
        </w:rPr>
        <w:t>邵阳市土地储备中心</w:t>
      </w:r>
      <w:r>
        <w:rPr>
          <w:rFonts w:hint="eastAsia" w:ascii="仿宋" w:hAnsi="仿宋" w:eastAsia="仿宋" w:cs="仿宋"/>
          <w:color w:val="000000"/>
          <w:sz w:val="30"/>
          <w:szCs w:val="30"/>
          <w:lang w:eastAsia="zh-CN"/>
        </w:rPr>
        <w:t>实际累计支付至邵阳市征地拆迁事务处项目资金为人民币</w:t>
      </w:r>
      <w:r>
        <w:rPr>
          <w:rFonts w:hint="eastAsia" w:ascii="仿宋" w:hAnsi="仿宋" w:eastAsia="仿宋" w:cs="仿宋"/>
          <w:color w:val="000000"/>
          <w:sz w:val="30"/>
          <w:szCs w:val="30"/>
          <w:lang w:val="en-US" w:eastAsia="zh-CN"/>
        </w:rPr>
        <w:t>15,427,121.92元。</w:t>
      </w:r>
    </w:p>
    <w:p w14:paraId="7526B7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jc w:val="both"/>
        <w:textAlignment w:val="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lang w:eastAsia="zh-CN"/>
        </w:rPr>
        <w:t>（二）邵阳市征地拆迁事务处本项目支出情况</w:t>
      </w:r>
    </w:p>
    <w:p w14:paraId="1147C0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jc w:val="both"/>
        <w:textAlignment w:val="auto"/>
        <w:rPr>
          <w:rFonts w:hint="default" w:ascii="仿宋" w:hAnsi="仿宋" w:eastAsia="仿宋" w:cs="仿宋"/>
          <w:b w:val="0"/>
          <w:bCs w:val="0"/>
          <w:i w:val="0"/>
          <w:iCs w:val="0"/>
          <w:color w:val="000000"/>
          <w:kern w:val="0"/>
          <w:sz w:val="30"/>
          <w:szCs w:val="30"/>
          <w:u w:val="none"/>
          <w:lang w:val="en-US" w:eastAsia="zh-CN" w:bidi="ar"/>
        </w:rPr>
      </w:pPr>
      <w:r>
        <w:rPr>
          <w:rFonts w:hint="eastAsia" w:ascii="仿宋" w:hAnsi="仿宋" w:eastAsia="仿宋" w:cs="仿宋"/>
          <w:b w:val="0"/>
          <w:bCs w:val="0"/>
          <w:color w:val="000000"/>
          <w:sz w:val="30"/>
          <w:szCs w:val="30"/>
          <w:lang w:val="en-US" w:eastAsia="zh-CN"/>
        </w:rPr>
        <w:t>截止2021年6月22日，</w:t>
      </w:r>
      <w:r>
        <w:rPr>
          <w:rFonts w:hint="eastAsia" w:ascii="仿宋" w:hAnsi="仿宋" w:eastAsia="仿宋" w:cs="仿宋"/>
          <w:b w:val="0"/>
          <w:bCs w:val="0"/>
          <w:color w:val="000000"/>
          <w:sz w:val="30"/>
          <w:szCs w:val="30"/>
          <w:lang w:eastAsia="zh-CN"/>
        </w:rPr>
        <w:t>邵阳市征地拆迁事务处累计支付项目资金人民币14</w:t>
      </w:r>
      <w:r>
        <w:rPr>
          <w:rFonts w:hint="eastAsia" w:ascii="仿宋" w:hAnsi="仿宋" w:eastAsia="仿宋" w:cs="仿宋"/>
          <w:b w:val="0"/>
          <w:bCs w:val="0"/>
          <w:color w:val="000000"/>
          <w:sz w:val="30"/>
          <w:szCs w:val="30"/>
          <w:lang w:val="en-US" w:eastAsia="zh-CN"/>
        </w:rPr>
        <w:t>,</w:t>
      </w:r>
      <w:r>
        <w:rPr>
          <w:rFonts w:hint="eastAsia" w:ascii="仿宋" w:hAnsi="仿宋" w:eastAsia="仿宋" w:cs="仿宋"/>
          <w:b w:val="0"/>
          <w:bCs w:val="0"/>
          <w:color w:val="000000"/>
          <w:sz w:val="30"/>
          <w:szCs w:val="30"/>
          <w:lang w:eastAsia="zh-CN"/>
        </w:rPr>
        <w:t>950</w:t>
      </w:r>
      <w:r>
        <w:rPr>
          <w:rFonts w:hint="eastAsia" w:ascii="仿宋" w:hAnsi="仿宋" w:eastAsia="仿宋" w:cs="仿宋"/>
          <w:b w:val="0"/>
          <w:bCs w:val="0"/>
          <w:color w:val="000000"/>
          <w:sz w:val="30"/>
          <w:szCs w:val="30"/>
          <w:lang w:val="en-US" w:eastAsia="zh-CN"/>
        </w:rPr>
        <w:t>,</w:t>
      </w:r>
      <w:r>
        <w:rPr>
          <w:rFonts w:hint="eastAsia" w:ascii="仿宋" w:hAnsi="仿宋" w:eastAsia="仿宋" w:cs="仿宋"/>
          <w:b w:val="0"/>
          <w:bCs w:val="0"/>
          <w:color w:val="000000"/>
          <w:sz w:val="30"/>
          <w:szCs w:val="30"/>
          <w:lang w:eastAsia="zh-CN"/>
        </w:rPr>
        <w:t>695.92元，其中土地补偿费</w:t>
      </w:r>
      <w:r>
        <w:rPr>
          <w:rFonts w:hint="eastAsia" w:ascii="仿宋" w:hAnsi="仿宋" w:eastAsia="仿宋" w:cs="仿宋"/>
          <w:b w:val="0"/>
          <w:bCs w:val="0"/>
          <w:i w:val="0"/>
          <w:iCs w:val="0"/>
          <w:color w:val="000000"/>
          <w:kern w:val="0"/>
          <w:sz w:val="30"/>
          <w:szCs w:val="30"/>
          <w:u w:val="none"/>
          <w:lang w:val="en-US" w:eastAsia="zh-CN" w:bidi="ar"/>
        </w:rPr>
        <w:t>2,434,237.60元，坟墓补偿费1,405,000.00元，拆迁补偿费7,569,865.00元，拆迁奖励款2,313,960.00元，社保基金894,340.70 元，测量费29,262.54元，征拆服务费74,387.08元，其他支出229,643.00元，前述情况汇总列表如下：</w:t>
      </w:r>
    </w:p>
    <w:p w14:paraId="33958E7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02" w:firstLineChars="200"/>
        <w:jc w:val="right"/>
        <w:textAlignment w:val="auto"/>
        <w:rPr>
          <w:rFonts w:hint="default"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 xml:space="preserve">                        </w:t>
      </w:r>
      <w:r>
        <w:rPr>
          <w:rFonts w:hint="eastAsia" w:ascii="仿宋" w:hAnsi="仿宋" w:eastAsia="仿宋" w:cs="仿宋"/>
          <w:b w:val="0"/>
          <w:bCs w:val="0"/>
          <w:i w:val="0"/>
          <w:iCs w:val="0"/>
          <w:color w:val="000000"/>
          <w:kern w:val="0"/>
          <w:sz w:val="28"/>
          <w:szCs w:val="28"/>
          <w:u w:val="none"/>
          <w:lang w:val="en-US" w:eastAsia="zh-CN" w:bidi="ar"/>
        </w:rPr>
        <w:t xml:space="preserve"> 项目支出汇总表</w:t>
      </w:r>
      <w:r>
        <w:rPr>
          <w:rFonts w:hint="eastAsia" w:ascii="仿宋" w:hAnsi="仿宋" w:eastAsia="仿宋" w:cs="仿宋"/>
          <w:b/>
          <w:bCs/>
          <w:i w:val="0"/>
          <w:iCs w:val="0"/>
          <w:color w:val="000000"/>
          <w:kern w:val="0"/>
          <w:sz w:val="20"/>
          <w:szCs w:val="20"/>
          <w:u w:val="none"/>
          <w:lang w:val="en-US" w:eastAsia="zh-CN" w:bidi="ar"/>
        </w:rPr>
        <w:t xml:space="preserve">                    </w:t>
      </w:r>
      <w:r>
        <w:rPr>
          <w:rFonts w:hint="eastAsia" w:ascii="仿宋" w:hAnsi="仿宋" w:eastAsia="仿宋" w:cs="仿宋"/>
          <w:b w:val="0"/>
          <w:bCs w:val="0"/>
          <w:i w:val="0"/>
          <w:iCs w:val="0"/>
          <w:color w:val="000000"/>
          <w:kern w:val="0"/>
          <w:sz w:val="20"/>
          <w:szCs w:val="20"/>
          <w:u w:val="none"/>
          <w:lang w:val="en-US" w:eastAsia="zh-CN" w:bidi="ar"/>
        </w:rPr>
        <w:t>单位：人民币元</w:t>
      </w:r>
    </w:p>
    <w:tbl>
      <w:tblPr>
        <w:tblStyle w:val="6"/>
        <w:tblW w:w="85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75"/>
        <w:gridCol w:w="4075"/>
      </w:tblGrid>
      <w:tr w14:paraId="27F05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5" w:type="dxa"/>
            <w:tcBorders>
              <w:top w:val="double" w:color="000000" w:sz="4" w:space="0"/>
              <w:left w:val="nil"/>
              <w:bottom w:val="single" w:color="000000" w:sz="4" w:space="0"/>
              <w:right w:val="dotted" w:color="000000" w:sz="4" w:space="0"/>
            </w:tcBorders>
            <w:shd w:val="clear" w:color="auto" w:fill="auto"/>
            <w:noWrap/>
            <w:vAlign w:val="center"/>
          </w:tcPr>
          <w:p w14:paraId="462B147E">
            <w:pPr>
              <w:keepNext w:val="0"/>
              <w:keepLines w:val="0"/>
              <w:widowControl/>
              <w:suppressLineNumbers w:val="0"/>
              <w:spacing w:line="360" w:lineRule="auto"/>
              <w:jc w:val="left"/>
              <w:textAlignment w:val="center"/>
              <w:rPr>
                <w:rFonts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项目名称</w:t>
            </w:r>
          </w:p>
        </w:tc>
        <w:tc>
          <w:tcPr>
            <w:tcW w:w="4075" w:type="dxa"/>
            <w:tcBorders>
              <w:top w:val="double" w:color="000000" w:sz="4" w:space="0"/>
              <w:left w:val="dotted" w:color="000000" w:sz="4" w:space="0"/>
              <w:bottom w:val="single" w:color="000000" w:sz="4" w:space="0"/>
              <w:right w:val="nil"/>
            </w:tcBorders>
            <w:shd w:val="clear" w:color="auto" w:fill="auto"/>
            <w:noWrap/>
            <w:vAlign w:val="center"/>
          </w:tcPr>
          <w:p w14:paraId="69AF1A6B">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发生金额</w:t>
            </w:r>
          </w:p>
        </w:tc>
      </w:tr>
      <w:tr w14:paraId="43171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5" w:type="dxa"/>
            <w:tcBorders>
              <w:top w:val="single" w:color="000000" w:sz="4" w:space="0"/>
              <w:left w:val="nil"/>
              <w:bottom w:val="dotted" w:color="000000" w:sz="4" w:space="0"/>
              <w:right w:val="dotted" w:color="000000" w:sz="4" w:space="0"/>
            </w:tcBorders>
            <w:shd w:val="clear" w:color="auto" w:fill="auto"/>
            <w:noWrap/>
            <w:vAlign w:val="center"/>
          </w:tcPr>
          <w:p w14:paraId="28EE783A">
            <w:pPr>
              <w:keepNext w:val="0"/>
              <w:keepLines w:val="0"/>
              <w:widowControl/>
              <w:suppressLineNumbers w:val="0"/>
              <w:spacing w:line="360" w:lineRule="auto"/>
              <w:jc w:val="lef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1、土地补偿费</w:t>
            </w:r>
          </w:p>
        </w:tc>
        <w:tc>
          <w:tcPr>
            <w:tcW w:w="4075" w:type="dxa"/>
            <w:tcBorders>
              <w:top w:val="single" w:color="000000" w:sz="4" w:space="0"/>
              <w:left w:val="dotted" w:color="000000" w:sz="4" w:space="0"/>
              <w:bottom w:val="dotted" w:color="000000" w:sz="4" w:space="0"/>
              <w:right w:val="nil"/>
            </w:tcBorders>
            <w:shd w:val="clear" w:color="auto" w:fill="auto"/>
            <w:noWrap/>
            <w:vAlign w:val="center"/>
          </w:tcPr>
          <w:p w14:paraId="58D0115F">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 xml:space="preserve">2,434,237.60 </w:t>
            </w:r>
          </w:p>
        </w:tc>
      </w:tr>
      <w:tr w14:paraId="0046B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475" w:type="dxa"/>
            <w:tcBorders>
              <w:top w:val="dotted" w:color="000000" w:sz="4" w:space="0"/>
              <w:left w:val="nil"/>
              <w:bottom w:val="dotted" w:color="000000" w:sz="4" w:space="0"/>
              <w:right w:val="dotted" w:color="000000" w:sz="4" w:space="0"/>
            </w:tcBorders>
            <w:shd w:val="clear" w:color="auto" w:fill="auto"/>
            <w:noWrap/>
            <w:vAlign w:val="center"/>
          </w:tcPr>
          <w:p w14:paraId="74D1CB91">
            <w:pPr>
              <w:keepNext w:val="0"/>
              <w:keepLines w:val="0"/>
              <w:widowControl/>
              <w:suppressLineNumbers w:val="0"/>
              <w:spacing w:line="360" w:lineRule="auto"/>
              <w:jc w:val="lef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2、坟墓补偿相关经费</w:t>
            </w:r>
          </w:p>
        </w:tc>
        <w:tc>
          <w:tcPr>
            <w:tcW w:w="4075" w:type="dxa"/>
            <w:tcBorders>
              <w:top w:val="dotted" w:color="000000" w:sz="4" w:space="0"/>
              <w:left w:val="dotted" w:color="000000" w:sz="4" w:space="0"/>
              <w:bottom w:val="dotted" w:color="000000" w:sz="4" w:space="0"/>
              <w:right w:val="nil"/>
            </w:tcBorders>
            <w:shd w:val="clear" w:color="auto" w:fill="auto"/>
            <w:noWrap/>
            <w:vAlign w:val="center"/>
          </w:tcPr>
          <w:p w14:paraId="245FF522">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 xml:space="preserve">1,405,000.00 </w:t>
            </w:r>
          </w:p>
        </w:tc>
      </w:tr>
      <w:tr w14:paraId="2348D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5" w:type="dxa"/>
            <w:tcBorders>
              <w:top w:val="dotted" w:color="000000" w:sz="4" w:space="0"/>
              <w:left w:val="nil"/>
              <w:bottom w:val="dotted" w:color="000000" w:sz="4" w:space="0"/>
              <w:right w:val="dotted" w:color="000000" w:sz="4" w:space="0"/>
            </w:tcBorders>
            <w:shd w:val="clear" w:color="auto" w:fill="auto"/>
            <w:noWrap/>
            <w:vAlign w:val="center"/>
          </w:tcPr>
          <w:p w14:paraId="34F20310">
            <w:pPr>
              <w:keepNext w:val="0"/>
              <w:keepLines w:val="0"/>
              <w:widowControl/>
              <w:suppressLineNumbers w:val="0"/>
              <w:spacing w:line="360" w:lineRule="auto"/>
              <w:jc w:val="lef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3、拆迁补偿费</w:t>
            </w:r>
          </w:p>
        </w:tc>
        <w:tc>
          <w:tcPr>
            <w:tcW w:w="4075" w:type="dxa"/>
            <w:tcBorders>
              <w:top w:val="dotted" w:color="000000" w:sz="4" w:space="0"/>
              <w:left w:val="dotted" w:color="000000" w:sz="4" w:space="0"/>
              <w:bottom w:val="dotted" w:color="000000" w:sz="4" w:space="0"/>
              <w:right w:val="nil"/>
            </w:tcBorders>
            <w:shd w:val="clear" w:color="auto" w:fill="auto"/>
            <w:noWrap/>
            <w:vAlign w:val="center"/>
          </w:tcPr>
          <w:p w14:paraId="4EB0951E">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 xml:space="preserve">7,569,865.00 </w:t>
            </w:r>
          </w:p>
        </w:tc>
      </w:tr>
      <w:tr w14:paraId="4983D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475" w:type="dxa"/>
            <w:tcBorders>
              <w:top w:val="dotted" w:color="000000" w:sz="4" w:space="0"/>
              <w:left w:val="nil"/>
              <w:bottom w:val="dotted" w:color="000000" w:sz="4" w:space="0"/>
              <w:right w:val="dotted" w:color="000000" w:sz="4" w:space="0"/>
            </w:tcBorders>
            <w:shd w:val="clear" w:color="auto" w:fill="auto"/>
            <w:noWrap/>
            <w:vAlign w:val="center"/>
          </w:tcPr>
          <w:p w14:paraId="123DA035">
            <w:pPr>
              <w:keepNext w:val="0"/>
              <w:keepLines w:val="0"/>
              <w:widowControl/>
              <w:suppressLineNumbers w:val="0"/>
              <w:spacing w:line="360" w:lineRule="auto"/>
              <w:jc w:val="lef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4、拆迁奖励款</w:t>
            </w:r>
          </w:p>
        </w:tc>
        <w:tc>
          <w:tcPr>
            <w:tcW w:w="4075" w:type="dxa"/>
            <w:tcBorders>
              <w:top w:val="dotted" w:color="000000" w:sz="4" w:space="0"/>
              <w:left w:val="dotted" w:color="000000" w:sz="4" w:space="0"/>
              <w:bottom w:val="dotted" w:color="000000" w:sz="4" w:space="0"/>
              <w:right w:val="nil"/>
            </w:tcBorders>
            <w:shd w:val="clear" w:color="auto" w:fill="auto"/>
            <w:noWrap/>
            <w:vAlign w:val="center"/>
          </w:tcPr>
          <w:p w14:paraId="78D23705">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 xml:space="preserve">2,313,960.00 </w:t>
            </w:r>
          </w:p>
        </w:tc>
      </w:tr>
      <w:tr w14:paraId="2950B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5" w:type="dxa"/>
            <w:tcBorders>
              <w:top w:val="dotted" w:color="000000" w:sz="4" w:space="0"/>
              <w:left w:val="nil"/>
              <w:bottom w:val="dotted" w:color="000000" w:sz="4" w:space="0"/>
              <w:right w:val="dotted" w:color="000000" w:sz="4" w:space="0"/>
            </w:tcBorders>
            <w:shd w:val="clear" w:color="auto" w:fill="auto"/>
            <w:noWrap/>
            <w:vAlign w:val="center"/>
          </w:tcPr>
          <w:p w14:paraId="2519FCAA">
            <w:pPr>
              <w:keepNext w:val="0"/>
              <w:keepLines w:val="0"/>
              <w:widowControl/>
              <w:suppressLineNumbers w:val="0"/>
              <w:spacing w:line="360" w:lineRule="auto"/>
              <w:jc w:val="lef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5、社保基金</w:t>
            </w:r>
          </w:p>
        </w:tc>
        <w:tc>
          <w:tcPr>
            <w:tcW w:w="4075" w:type="dxa"/>
            <w:tcBorders>
              <w:top w:val="dotted" w:color="000000" w:sz="4" w:space="0"/>
              <w:left w:val="dotted" w:color="000000" w:sz="4" w:space="0"/>
              <w:bottom w:val="dotted" w:color="000000" w:sz="4" w:space="0"/>
              <w:right w:val="nil"/>
            </w:tcBorders>
            <w:shd w:val="clear" w:color="auto" w:fill="auto"/>
            <w:noWrap/>
            <w:vAlign w:val="center"/>
          </w:tcPr>
          <w:p w14:paraId="2B3B3345">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 xml:space="preserve">894,340.70 </w:t>
            </w:r>
          </w:p>
        </w:tc>
      </w:tr>
      <w:tr w14:paraId="12FDF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5" w:type="dxa"/>
            <w:tcBorders>
              <w:top w:val="dotted" w:color="000000" w:sz="4" w:space="0"/>
              <w:left w:val="nil"/>
              <w:bottom w:val="dotted" w:color="000000" w:sz="4" w:space="0"/>
              <w:right w:val="dotted" w:color="000000" w:sz="4" w:space="0"/>
            </w:tcBorders>
            <w:shd w:val="clear" w:color="auto" w:fill="auto"/>
            <w:noWrap/>
            <w:vAlign w:val="center"/>
          </w:tcPr>
          <w:p w14:paraId="2A957A44">
            <w:pPr>
              <w:keepNext w:val="0"/>
              <w:keepLines w:val="0"/>
              <w:widowControl/>
              <w:suppressLineNumbers w:val="0"/>
              <w:spacing w:line="360" w:lineRule="auto"/>
              <w:jc w:val="lef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6、测量费</w:t>
            </w:r>
          </w:p>
        </w:tc>
        <w:tc>
          <w:tcPr>
            <w:tcW w:w="4075" w:type="dxa"/>
            <w:tcBorders>
              <w:top w:val="dotted" w:color="000000" w:sz="4" w:space="0"/>
              <w:left w:val="dotted" w:color="000000" w:sz="4" w:space="0"/>
              <w:bottom w:val="dotted" w:color="000000" w:sz="4" w:space="0"/>
              <w:right w:val="nil"/>
            </w:tcBorders>
            <w:shd w:val="clear" w:color="auto" w:fill="auto"/>
            <w:noWrap/>
            <w:vAlign w:val="center"/>
          </w:tcPr>
          <w:p w14:paraId="703716DB">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 xml:space="preserve">29,262.54 </w:t>
            </w:r>
          </w:p>
        </w:tc>
      </w:tr>
      <w:tr w14:paraId="210E8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5" w:type="dxa"/>
            <w:tcBorders>
              <w:top w:val="dotted" w:color="000000" w:sz="4" w:space="0"/>
              <w:left w:val="nil"/>
              <w:bottom w:val="dotted" w:color="000000" w:sz="4" w:space="0"/>
              <w:right w:val="dotted" w:color="000000" w:sz="4" w:space="0"/>
            </w:tcBorders>
            <w:shd w:val="clear" w:color="auto" w:fill="auto"/>
            <w:noWrap/>
            <w:vAlign w:val="center"/>
          </w:tcPr>
          <w:p w14:paraId="73D857E9">
            <w:pPr>
              <w:keepNext w:val="0"/>
              <w:keepLines w:val="0"/>
              <w:widowControl/>
              <w:suppressLineNumbers w:val="0"/>
              <w:spacing w:line="360" w:lineRule="auto"/>
              <w:jc w:val="lef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7、征拆服务费</w:t>
            </w:r>
          </w:p>
        </w:tc>
        <w:tc>
          <w:tcPr>
            <w:tcW w:w="4075" w:type="dxa"/>
            <w:tcBorders>
              <w:top w:val="dotted" w:color="000000" w:sz="4" w:space="0"/>
              <w:left w:val="dotted" w:color="000000" w:sz="4" w:space="0"/>
              <w:bottom w:val="dotted" w:color="000000" w:sz="4" w:space="0"/>
              <w:right w:val="nil"/>
            </w:tcBorders>
            <w:shd w:val="clear" w:color="auto" w:fill="auto"/>
            <w:noWrap/>
            <w:vAlign w:val="center"/>
          </w:tcPr>
          <w:p w14:paraId="2A994EF6">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 xml:space="preserve">74,387.08 </w:t>
            </w:r>
          </w:p>
        </w:tc>
      </w:tr>
      <w:tr w14:paraId="08814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5" w:type="dxa"/>
            <w:tcBorders>
              <w:top w:val="dotted" w:color="000000" w:sz="4" w:space="0"/>
              <w:left w:val="nil"/>
              <w:bottom w:val="single" w:color="000000" w:sz="4" w:space="0"/>
              <w:right w:val="dotted" w:color="000000" w:sz="4" w:space="0"/>
            </w:tcBorders>
            <w:shd w:val="clear" w:color="auto" w:fill="auto"/>
            <w:noWrap/>
            <w:vAlign w:val="center"/>
          </w:tcPr>
          <w:p w14:paraId="23E8EA4E">
            <w:pPr>
              <w:keepNext w:val="0"/>
              <w:keepLines w:val="0"/>
              <w:widowControl/>
              <w:suppressLineNumbers w:val="0"/>
              <w:spacing w:line="360" w:lineRule="auto"/>
              <w:jc w:val="lef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8、其他支出</w:t>
            </w:r>
          </w:p>
        </w:tc>
        <w:tc>
          <w:tcPr>
            <w:tcW w:w="4075" w:type="dxa"/>
            <w:tcBorders>
              <w:top w:val="dotted" w:color="000000" w:sz="4" w:space="0"/>
              <w:left w:val="dotted" w:color="000000" w:sz="4" w:space="0"/>
              <w:bottom w:val="single" w:color="000000" w:sz="4" w:space="0"/>
              <w:right w:val="nil"/>
            </w:tcBorders>
            <w:shd w:val="clear" w:color="auto" w:fill="auto"/>
            <w:noWrap/>
            <w:vAlign w:val="center"/>
          </w:tcPr>
          <w:p w14:paraId="22B8EFBC">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 xml:space="preserve">229,643.00 </w:t>
            </w:r>
          </w:p>
        </w:tc>
      </w:tr>
      <w:tr w14:paraId="246F9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5" w:type="dxa"/>
            <w:tcBorders>
              <w:top w:val="single" w:color="000000" w:sz="4" w:space="0"/>
              <w:left w:val="nil"/>
              <w:bottom w:val="double" w:color="000000" w:sz="4" w:space="0"/>
              <w:right w:val="dotted" w:color="000000" w:sz="4" w:space="0"/>
            </w:tcBorders>
            <w:shd w:val="clear" w:color="auto" w:fill="auto"/>
            <w:noWrap/>
            <w:vAlign w:val="center"/>
          </w:tcPr>
          <w:p w14:paraId="7A94A5FF">
            <w:pPr>
              <w:keepNext w:val="0"/>
              <w:keepLines w:val="0"/>
              <w:widowControl/>
              <w:suppressLineNumbers w:val="0"/>
              <w:spacing w:line="360" w:lineRule="auto"/>
              <w:jc w:val="lef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i w:val="0"/>
                <w:iCs w:val="0"/>
                <w:color w:val="000000"/>
                <w:kern w:val="0"/>
                <w:sz w:val="20"/>
                <w:szCs w:val="20"/>
                <w:u w:val="none"/>
                <w:lang w:val="en-US" w:eastAsia="zh-CN" w:bidi="ar"/>
              </w:rPr>
              <w:t>合计</w:t>
            </w:r>
          </w:p>
        </w:tc>
        <w:tc>
          <w:tcPr>
            <w:tcW w:w="4075" w:type="dxa"/>
            <w:tcBorders>
              <w:top w:val="single" w:color="000000" w:sz="4" w:space="0"/>
              <w:left w:val="dotted" w:color="000000" w:sz="4" w:space="0"/>
              <w:bottom w:val="double" w:color="000000" w:sz="4" w:space="0"/>
              <w:right w:val="nil"/>
            </w:tcBorders>
            <w:shd w:val="clear" w:color="auto" w:fill="auto"/>
            <w:noWrap/>
            <w:vAlign w:val="center"/>
          </w:tcPr>
          <w:p w14:paraId="36094F78">
            <w:pPr>
              <w:keepNext w:val="0"/>
              <w:keepLines w:val="0"/>
              <w:widowControl/>
              <w:suppressLineNumbers w:val="0"/>
              <w:spacing w:line="360" w:lineRule="auto"/>
              <w:jc w:val="right"/>
              <w:textAlignment w:val="center"/>
              <w:rPr>
                <w:rFonts w:hint="eastAsia" w:ascii="仿宋" w:hAnsi="仿宋" w:eastAsia="仿宋" w:cs="仿宋"/>
                <w:b w:val="0"/>
                <w:bCs w:val="0"/>
                <w:i w:val="0"/>
                <w:iCs w:val="0"/>
                <w:color w:val="000000"/>
                <w:sz w:val="20"/>
                <w:szCs w:val="20"/>
                <w:u w:val="none"/>
              </w:rPr>
            </w:pPr>
            <w:r>
              <w:rPr>
                <w:rFonts w:hint="eastAsia" w:ascii="仿宋" w:hAnsi="仿宋" w:eastAsia="仿宋" w:cs="仿宋"/>
                <w:b w:val="0"/>
                <w:bCs w:val="0"/>
                <w:color w:val="000000"/>
                <w:sz w:val="21"/>
                <w:szCs w:val="21"/>
                <w:lang w:eastAsia="zh-CN"/>
              </w:rPr>
              <w:t>14</w:t>
            </w:r>
            <w:r>
              <w:rPr>
                <w:rFonts w:hint="eastAsia" w:ascii="仿宋" w:hAnsi="仿宋" w:eastAsia="仿宋" w:cs="仿宋"/>
                <w:b w:val="0"/>
                <w:bCs w:val="0"/>
                <w:color w:val="000000"/>
                <w:sz w:val="21"/>
                <w:szCs w:val="21"/>
                <w:lang w:val="en-US" w:eastAsia="zh-CN"/>
              </w:rPr>
              <w:t>,</w:t>
            </w:r>
            <w:r>
              <w:rPr>
                <w:rFonts w:hint="eastAsia" w:ascii="仿宋" w:hAnsi="仿宋" w:eastAsia="仿宋" w:cs="仿宋"/>
                <w:b w:val="0"/>
                <w:bCs w:val="0"/>
                <w:color w:val="000000"/>
                <w:sz w:val="21"/>
                <w:szCs w:val="21"/>
                <w:lang w:eastAsia="zh-CN"/>
              </w:rPr>
              <w:t>950</w:t>
            </w:r>
            <w:r>
              <w:rPr>
                <w:rFonts w:hint="eastAsia" w:ascii="仿宋" w:hAnsi="仿宋" w:eastAsia="仿宋" w:cs="仿宋"/>
                <w:b w:val="0"/>
                <w:bCs w:val="0"/>
                <w:color w:val="000000"/>
                <w:sz w:val="21"/>
                <w:szCs w:val="21"/>
                <w:lang w:val="en-US" w:eastAsia="zh-CN"/>
              </w:rPr>
              <w:t>,</w:t>
            </w:r>
            <w:r>
              <w:rPr>
                <w:rFonts w:hint="eastAsia" w:ascii="仿宋" w:hAnsi="仿宋" w:eastAsia="仿宋" w:cs="仿宋"/>
                <w:b w:val="0"/>
                <w:bCs w:val="0"/>
                <w:color w:val="000000"/>
                <w:sz w:val="21"/>
                <w:szCs w:val="21"/>
                <w:lang w:eastAsia="zh-CN"/>
              </w:rPr>
              <w:t>695.92</w:t>
            </w:r>
            <w:r>
              <w:rPr>
                <w:rFonts w:hint="eastAsia" w:ascii="仿宋" w:hAnsi="仿宋" w:eastAsia="仿宋" w:cs="仿宋"/>
                <w:b w:val="0"/>
                <w:bCs w:val="0"/>
                <w:i w:val="0"/>
                <w:iCs w:val="0"/>
                <w:color w:val="000000"/>
                <w:kern w:val="0"/>
                <w:sz w:val="20"/>
                <w:szCs w:val="20"/>
                <w:u w:val="none"/>
                <w:lang w:val="en-US" w:eastAsia="zh-CN" w:bidi="ar"/>
              </w:rPr>
              <w:t xml:space="preserve"> </w:t>
            </w:r>
          </w:p>
        </w:tc>
      </w:tr>
    </w:tbl>
    <w:p w14:paraId="08E844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both"/>
        <w:textAlignment w:val="auto"/>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具体情况说明如下：</w:t>
      </w:r>
    </w:p>
    <w:p w14:paraId="6056FDC4">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i w:val="0"/>
          <w:iCs w:val="0"/>
          <w:color w:val="000000"/>
          <w:kern w:val="0"/>
          <w:sz w:val="30"/>
          <w:szCs w:val="30"/>
          <w:u w:val="none"/>
          <w:lang w:val="en-US" w:eastAsia="zh-CN" w:bidi="ar"/>
        </w:rPr>
      </w:pPr>
      <w:r>
        <w:rPr>
          <w:rFonts w:hint="eastAsia" w:ascii="仿宋" w:hAnsi="仿宋" w:eastAsia="仿宋" w:cs="仿宋"/>
          <w:b w:val="0"/>
          <w:bCs w:val="0"/>
          <w:color w:val="000000"/>
          <w:sz w:val="30"/>
          <w:szCs w:val="30"/>
          <w:lang w:val="en-US" w:eastAsia="zh-CN"/>
        </w:rPr>
        <w:t>支付的土地补偿费合计人民币</w:t>
      </w:r>
      <w:r>
        <w:rPr>
          <w:rFonts w:hint="eastAsia" w:ascii="仿宋" w:hAnsi="仿宋" w:eastAsia="仿宋" w:cs="仿宋"/>
          <w:b w:val="0"/>
          <w:bCs w:val="0"/>
          <w:i w:val="0"/>
          <w:iCs w:val="0"/>
          <w:color w:val="000000"/>
          <w:kern w:val="0"/>
          <w:sz w:val="30"/>
          <w:szCs w:val="30"/>
          <w:u w:val="none"/>
          <w:lang w:val="en-US" w:eastAsia="zh-CN" w:bidi="ar"/>
        </w:rPr>
        <w:t>2,434,237.60元，包括补偿水田9.82亩，旱土24.93亩，按照政府标准（按土地补偿费10%扣除保险基金）支付的土地补偿费合计2,362,839.34元，支付的青苗补偿费合计71,398.26元，详细情况列表如下：</w:t>
      </w:r>
    </w:p>
    <w:p w14:paraId="443294B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default" w:ascii="仿宋" w:hAnsi="仿宋" w:eastAsia="仿宋" w:cs="仿宋"/>
          <w:b w:val="0"/>
          <w:bCs w:val="0"/>
          <w:i w:val="0"/>
          <w:iCs w:val="0"/>
          <w:color w:val="000000"/>
          <w:kern w:val="0"/>
          <w:sz w:val="30"/>
          <w:szCs w:val="30"/>
          <w:u w:val="none"/>
          <w:lang w:val="en-US" w:eastAsia="zh-CN" w:bidi="ar"/>
        </w:rPr>
      </w:pPr>
      <w:r>
        <w:rPr>
          <w:rFonts w:hint="eastAsia" w:ascii="仿宋" w:hAnsi="仿宋" w:eastAsia="仿宋" w:cs="仿宋"/>
          <w:b w:val="0"/>
          <w:bCs w:val="0"/>
          <w:i w:val="0"/>
          <w:iCs w:val="0"/>
          <w:color w:val="000000"/>
          <w:kern w:val="0"/>
          <w:sz w:val="30"/>
          <w:szCs w:val="30"/>
          <w:u w:val="none"/>
          <w:lang w:val="en-US" w:eastAsia="zh-CN" w:bidi="ar"/>
        </w:rPr>
        <w:t xml:space="preserve">土地补偿费汇总表            </w:t>
      </w:r>
      <w:r>
        <w:rPr>
          <w:rFonts w:hint="eastAsia" w:ascii="仿宋" w:hAnsi="仿宋" w:eastAsia="仿宋" w:cs="仿宋"/>
          <w:b w:val="0"/>
          <w:bCs w:val="0"/>
          <w:i w:val="0"/>
          <w:iCs w:val="0"/>
          <w:color w:val="000000"/>
          <w:kern w:val="0"/>
          <w:sz w:val="20"/>
          <w:szCs w:val="20"/>
          <w:u w:val="none"/>
          <w:lang w:val="en-US" w:eastAsia="zh-CN" w:bidi="ar"/>
        </w:rPr>
        <w:t xml:space="preserve"> 单位：人民币元</w:t>
      </w:r>
      <w:r>
        <w:rPr>
          <w:rFonts w:hint="eastAsia" w:ascii="仿宋" w:hAnsi="仿宋" w:eastAsia="仿宋" w:cs="仿宋"/>
          <w:b w:val="0"/>
          <w:bCs w:val="0"/>
          <w:i w:val="0"/>
          <w:iCs w:val="0"/>
          <w:color w:val="000000"/>
          <w:kern w:val="0"/>
          <w:sz w:val="30"/>
          <w:szCs w:val="30"/>
          <w:u w:val="none"/>
          <w:lang w:val="en-US" w:eastAsia="zh-CN" w:bidi="ar"/>
        </w:rPr>
        <w:t xml:space="preserve">    </w:t>
      </w:r>
    </w:p>
    <w:tbl>
      <w:tblPr>
        <w:tblStyle w:val="6"/>
        <w:tblW w:w="834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45"/>
        <w:gridCol w:w="1500"/>
        <w:gridCol w:w="1950"/>
        <w:gridCol w:w="1634"/>
        <w:gridCol w:w="1718"/>
      </w:tblGrid>
      <w:tr w14:paraId="69637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545" w:type="dxa"/>
            <w:tcBorders>
              <w:top w:val="double" w:color="000000" w:sz="4" w:space="0"/>
              <w:left w:val="nil"/>
              <w:bottom w:val="single" w:color="000000" w:sz="4" w:space="0"/>
              <w:right w:val="dotted" w:color="000000" w:sz="4" w:space="0"/>
            </w:tcBorders>
            <w:shd w:val="clear" w:color="auto" w:fill="auto"/>
            <w:noWrap/>
            <w:vAlign w:val="center"/>
          </w:tcPr>
          <w:p w14:paraId="2F30AEA5">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项目名称</w:t>
            </w:r>
          </w:p>
        </w:tc>
        <w:tc>
          <w:tcPr>
            <w:tcW w:w="1500" w:type="dxa"/>
            <w:tcBorders>
              <w:top w:val="double" w:color="000000" w:sz="4" w:space="0"/>
              <w:left w:val="dotted" w:color="000000" w:sz="4" w:space="0"/>
              <w:bottom w:val="single" w:color="000000" w:sz="4" w:space="0"/>
              <w:right w:val="dotted" w:color="000000" w:sz="4" w:space="0"/>
            </w:tcBorders>
            <w:shd w:val="clear" w:color="auto" w:fill="auto"/>
            <w:noWrap/>
            <w:vAlign w:val="center"/>
          </w:tcPr>
          <w:p w14:paraId="73774DE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面积（亩）</w:t>
            </w:r>
          </w:p>
        </w:tc>
        <w:tc>
          <w:tcPr>
            <w:tcW w:w="1950" w:type="dxa"/>
            <w:tcBorders>
              <w:top w:val="double" w:color="000000" w:sz="4" w:space="0"/>
              <w:left w:val="dotted" w:color="000000" w:sz="4" w:space="0"/>
              <w:bottom w:val="single" w:color="000000" w:sz="4" w:space="0"/>
              <w:right w:val="dotted" w:color="000000" w:sz="4" w:space="0"/>
            </w:tcBorders>
            <w:shd w:val="clear" w:color="auto" w:fill="auto"/>
            <w:noWrap/>
            <w:vAlign w:val="center"/>
          </w:tcPr>
          <w:p w14:paraId="47A937D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土地补偿费</w:t>
            </w:r>
          </w:p>
        </w:tc>
        <w:tc>
          <w:tcPr>
            <w:tcW w:w="1634" w:type="dxa"/>
            <w:tcBorders>
              <w:top w:val="double" w:color="000000" w:sz="4" w:space="0"/>
              <w:left w:val="dotted" w:color="000000" w:sz="4" w:space="0"/>
              <w:bottom w:val="single" w:color="000000" w:sz="4" w:space="0"/>
              <w:right w:val="dotted" w:color="000000" w:sz="4" w:space="0"/>
            </w:tcBorders>
            <w:shd w:val="clear" w:color="auto" w:fill="auto"/>
            <w:noWrap/>
            <w:vAlign w:val="center"/>
          </w:tcPr>
          <w:p w14:paraId="7AFF384B">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青苗补偿费</w:t>
            </w:r>
          </w:p>
        </w:tc>
        <w:tc>
          <w:tcPr>
            <w:tcW w:w="1718" w:type="dxa"/>
            <w:tcBorders>
              <w:top w:val="double" w:color="000000" w:sz="4" w:space="0"/>
              <w:left w:val="dotted" w:color="000000" w:sz="4" w:space="0"/>
              <w:bottom w:val="single" w:color="000000" w:sz="4" w:space="0"/>
              <w:right w:val="nil"/>
            </w:tcBorders>
            <w:shd w:val="clear" w:color="auto" w:fill="auto"/>
            <w:noWrap/>
            <w:vAlign w:val="center"/>
          </w:tcPr>
          <w:p w14:paraId="379718C4">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小    计</w:t>
            </w:r>
          </w:p>
        </w:tc>
      </w:tr>
      <w:tr w14:paraId="7B8FB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545" w:type="dxa"/>
            <w:tcBorders>
              <w:top w:val="single" w:color="000000" w:sz="4" w:space="0"/>
              <w:left w:val="nil"/>
              <w:bottom w:val="dotted" w:color="000000" w:sz="4" w:space="0"/>
              <w:right w:val="dotted" w:color="000000" w:sz="4" w:space="0"/>
            </w:tcBorders>
            <w:shd w:val="clear" w:color="auto" w:fill="auto"/>
            <w:noWrap/>
            <w:vAlign w:val="center"/>
          </w:tcPr>
          <w:p w14:paraId="782FB565">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水田</w:t>
            </w:r>
          </w:p>
        </w:tc>
        <w:tc>
          <w:tcPr>
            <w:tcW w:w="1500" w:type="dxa"/>
            <w:tcBorders>
              <w:top w:val="single" w:color="000000" w:sz="4" w:space="0"/>
              <w:left w:val="dotted" w:color="000000" w:sz="4" w:space="0"/>
              <w:bottom w:val="dotted" w:color="000000" w:sz="4" w:space="0"/>
              <w:right w:val="dotted" w:color="000000" w:sz="4" w:space="0"/>
            </w:tcBorders>
            <w:shd w:val="clear" w:color="auto" w:fill="auto"/>
            <w:noWrap/>
            <w:vAlign w:val="center"/>
          </w:tcPr>
          <w:p w14:paraId="1A575BFC">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9.82 </w:t>
            </w:r>
          </w:p>
        </w:tc>
        <w:tc>
          <w:tcPr>
            <w:tcW w:w="1950" w:type="dxa"/>
            <w:tcBorders>
              <w:top w:val="single" w:color="000000" w:sz="4" w:space="0"/>
              <w:left w:val="dotted" w:color="000000" w:sz="4" w:space="0"/>
              <w:bottom w:val="dotted" w:color="000000" w:sz="4" w:space="0"/>
              <w:right w:val="dotted" w:color="000000" w:sz="4" w:space="0"/>
            </w:tcBorders>
            <w:shd w:val="clear" w:color="auto" w:fill="auto"/>
            <w:noWrap/>
            <w:vAlign w:val="center"/>
          </w:tcPr>
          <w:p w14:paraId="51A9ECA1">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758,593.84 </w:t>
            </w:r>
          </w:p>
        </w:tc>
        <w:tc>
          <w:tcPr>
            <w:tcW w:w="1634" w:type="dxa"/>
            <w:tcBorders>
              <w:top w:val="single" w:color="000000" w:sz="4" w:space="0"/>
              <w:left w:val="dotted" w:color="000000" w:sz="4" w:space="0"/>
              <w:bottom w:val="dotted" w:color="000000" w:sz="4" w:space="0"/>
              <w:right w:val="dotted" w:color="000000" w:sz="4" w:space="0"/>
            </w:tcBorders>
            <w:shd w:val="clear" w:color="auto" w:fill="auto"/>
            <w:noWrap/>
            <w:vAlign w:val="center"/>
          </w:tcPr>
          <w:p w14:paraId="6E82F782">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26,524.26 </w:t>
            </w:r>
          </w:p>
        </w:tc>
        <w:tc>
          <w:tcPr>
            <w:tcW w:w="1718" w:type="dxa"/>
            <w:tcBorders>
              <w:top w:val="single" w:color="000000" w:sz="4" w:space="0"/>
              <w:left w:val="dotted" w:color="000000" w:sz="4" w:space="0"/>
              <w:bottom w:val="dotted" w:color="000000" w:sz="4" w:space="0"/>
              <w:right w:val="nil"/>
            </w:tcBorders>
            <w:shd w:val="clear" w:color="auto" w:fill="auto"/>
            <w:noWrap/>
            <w:vAlign w:val="center"/>
          </w:tcPr>
          <w:p w14:paraId="63FB5F45">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785,118.10 </w:t>
            </w:r>
          </w:p>
        </w:tc>
      </w:tr>
      <w:tr w14:paraId="498EB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545" w:type="dxa"/>
            <w:tcBorders>
              <w:top w:val="dotted" w:color="000000" w:sz="4" w:space="0"/>
              <w:left w:val="nil"/>
              <w:bottom w:val="single" w:color="000000" w:sz="4" w:space="0"/>
              <w:right w:val="dotted" w:color="000000" w:sz="4" w:space="0"/>
            </w:tcBorders>
            <w:shd w:val="clear" w:color="auto" w:fill="auto"/>
            <w:noWrap/>
            <w:vAlign w:val="center"/>
          </w:tcPr>
          <w:p w14:paraId="2E69BBC4">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旱土</w:t>
            </w:r>
          </w:p>
        </w:tc>
        <w:tc>
          <w:tcPr>
            <w:tcW w:w="1500" w:type="dxa"/>
            <w:tcBorders>
              <w:top w:val="dotted" w:color="000000" w:sz="4" w:space="0"/>
              <w:left w:val="dotted" w:color="000000" w:sz="4" w:space="0"/>
              <w:bottom w:val="single" w:color="000000" w:sz="4" w:space="0"/>
              <w:right w:val="dotted" w:color="000000" w:sz="4" w:space="0"/>
            </w:tcBorders>
            <w:shd w:val="clear" w:color="auto" w:fill="auto"/>
            <w:noWrap/>
            <w:vAlign w:val="center"/>
          </w:tcPr>
          <w:p w14:paraId="7D04E4E7">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24.93 </w:t>
            </w:r>
          </w:p>
        </w:tc>
        <w:tc>
          <w:tcPr>
            <w:tcW w:w="1950" w:type="dxa"/>
            <w:tcBorders>
              <w:top w:val="dotted" w:color="000000" w:sz="4" w:space="0"/>
              <w:left w:val="dotted" w:color="000000" w:sz="4" w:space="0"/>
              <w:bottom w:val="single" w:color="000000" w:sz="4" w:space="0"/>
              <w:right w:val="dotted" w:color="000000" w:sz="4" w:space="0"/>
            </w:tcBorders>
            <w:shd w:val="clear" w:color="auto" w:fill="auto"/>
            <w:noWrap/>
            <w:vAlign w:val="center"/>
          </w:tcPr>
          <w:p w14:paraId="2E28A1E9">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1,604,245.50 </w:t>
            </w:r>
          </w:p>
        </w:tc>
        <w:tc>
          <w:tcPr>
            <w:tcW w:w="1634" w:type="dxa"/>
            <w:tcBorders>
              <w:top w:val="dotted" w:color="000000" w:sz="4" w:space="0"/>
              <w:left w:val="dotted" w:color="000000" w:sz="4" w:space="0"/>
              <w:bottom w:val="single" w:color="000000" w:sz="4" w:space="0"/>
              <w:right w:val="dotted" w:color="000000" w:sz="4" w:space="0"/>
            </w:tcBorders>
            <w:shd w:val="clear" w:color="auto" w:fill="auto"/>
            <w:noWrap/>
            <w:vAlign w:val="center"/>
          </w:tcPr>
          <w:p w14:paraId="79FF4A67">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44,874.00 </w:t>
            </w:r>
          </w:p>
        </w:tc>
        <w:tc>
          <w:tcPr>
            <w:tcW w:w="1718" w:type="dxa"/>
            <w:tcBorders>
              <w:top w:val="dotted" w:color="000000" w:sz="4" w:space="0"/>
              <w:left w:val="dotted" w:color="000000" w:sz="4" w:space="0"/>
              <w:bottom w:val="single" w:color="000000" w:sz="4" w:space="0"/>
              <w:right w:val="nil"/>
            </w:tcBorders>
            <w:shd w:val="clear" w:color="auto" w:fill="auto"/>
            <w:noWrap/>
            <w:vAlign w:val="center"/>
          </w:tcPr>
          <w:p w14:paraId="70C95F0C">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1,649,119.50 </w:t>
            </w:r>
          </w:p>
        </w:tc>
      </w:tr>
      <w:tr w14:paraId="76CB5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545" w:type="dxa"/>
            <w:tcBorders>
              <w:top w:val="single" w:color="000000" w:sz="4" w:space="0"/>
              <w:left w:val="nil"/>
              <w:bottom w:val="double" w:color="000000" w:sz="4" w:space="0"/>
              <w:right w:val="dotted" w:color="000000" w:sz="4" w:space="0"/>
            </w:tcBorders>
            <w:shd w:val="clear" w:color="auto" w:fill="auto"/>
            <w:noWrap/>
            <w:vAlign w:val="center"/>
          </w:tcPr>
          <w:p w14:paraId="0587C1F8">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合计</w:t>
            </w:r>
          </w:p>
        </w:tc>
        <w:tc>
          <w:tcPr>
            <w:tcW w:w="1500" w:type="dxa"/>
            <w:tcBorders>
              <w:top w:val="single" w:color="000000" w:sz="4" w:space="0"/>
              <w:left w:val="dotted" w:color="000000" w:sz="4" w:space="0"/>
              <w:bottom w:val="double" w:color="000000" w:sz="4" w:space="0"/>
              <w:right w:val="dotted" w:color="000000" w:sz="4" w:space="0"/>
            </w:tcBorders>
            <w:shd w:val="clear" w:color="auto" w:fill="auto"/>
            <w:noWrap/>
            <w:vAlign w:val="center"/>
          </w:tcPr>
          <w:p w14:paraId="1C3F96ED">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000000"/>
                <w:sz w:val="22"/>
                <w:szCs w:val="22"/>
                <w:u w:val="none"/>
              </w:rPr>
            </w:pPr>
            <w:r>
              <w:rPr>
                <w:rFonts w:hint="eastAsia" w:ascii="仿宋" w:hAnsi="仿宋" w:eastAsia="仿宋" w:cs="仿宋"/>
                <w:b w:val="0"/>
                <w:bCs w:val="0"/>
                <w:i w:val="0"/>
                <w:iCs w:val="0"/>
                <w:color w:val="000000"/>
                <w:kern w:val="0"/>
                <w:sz w:val="22"/>
                <w:szCs w:val="22"/>
                <w:u w:val="none"/>
                <w:lang w:val="en-US" w:eastAsia="zh-CN" w:bidi="ar"/>
              </w:rPr>
              <w:t xml:space="preserve">34.75 </w:t>
            </w:r>
          </w:p>
        </w:tc>
        <w:tc>
          <w:tcPr>
            <w:tcW w:w="1950" w:type="dxa"/>
            <w:tcBorders>
              <w:top w:val="single" w:color="000000" w:sz="4" w:space="0"/>
              <w:left w:val="dotted" w:color="000000" w:sz="4" w:space="0"/>
              <w:bottom w:val="double" w:color="000000" w:sz="4" w:space="0"/>
              <w:right w:val="dotted" w:color="000000" w:sz="4" w:space="0"/>
            </w:tcBorders>
            <w:shd w:val="clear" w:color="auto" w:fill="auto"/>
            <w:noWrap/>
            <w:vAlign w:val="center"/>
          </w:tcPr>
          <w:p w14:paraId="6702F3C5">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auto"/>
                <w:sz w:val="22"/>
                <w:szCs w:val="22"/>
                <w:u w:val="none"/>
              </w:rPr>
            </w:pPr>
            <w:r>
              <w:rPr>
                <w:rFonts w:hint="eastAsia" w:ascii="仿宋" w:hAnsi="仿宋" w:eastAsia="仿宋" w:cs="仿宋"/>
                <w:b w:val="0"/>
                <w:bCs w:val="0"/>
                <w:i w:val="0"/>
                <w:iCs w:val="0"/>
                <w:color w:val="auto"/>
                <w:kern w:val="0"/>
                <w:sz w:val="22"/>
                <w:szCs w:val="22"/>
                <w:u w:val="none"/>
                <w:lang w:val="en-US" w:eastAsia="zh-CN" w:bidi="ar"/>
              </w:rPr>
              <w:t xml:space="preserve">2,362,839.34 </w:t>
            </w:r>
          </w:p>
        </w:tc>
        <w:tc>
          <w:tcPr>
            <w:tcW w:w="1634" w:type="dxa"/>
            <w:tcBorders>
              <w:top w:val="single" w:color="000000" w:sz="4" w:space="0"/>
              <w:left w:val="dotted" w:color="000000" w:sz="4" w:space="0"/>
              <w:bottom w:val="double" w:color="000000" w:sz="4" w:space="0"/>
              <w:right w:val="dotted" w:color="000000" w:sz="4" w:space="0"/>
            </w:tcBorders>
            <w:shd w:val="clear" w:color="auto" w:fill="auto"/>
            <w:noWrap/>
            <w:vAlign w:val="center"/>
          </w:tcPr>
          <w:p w14:paraId="5005E41D">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auto"/>
                <w:sz w:val="22"/>
                <w:szCs w:val="22"/>
                <w:u w:val="none"/>
              </w:rPr>
            </w:pPr>
            <w:r>
              <w:rPr>
                <w:rFonts w:hint="eastAsia" w:ascii="仿宋" w:hAnsi="仿宋" w:eastAsia="仿宋" w:cs="仿宋"/>
                <w:b w:val="0"/>
                <w:bCs w:val="0"/>
                <w:i w:val="0"/>
                <w:iCs w:val="0"/>
                <w:color w:val="auto"/>
                <w:kern w:val="0"/>
                <w:sz w:val="22"/>
                <w:szCs w:val="22"/>
                <w:u w:val="none"/>
                <w:lang w:val="en-US" w:eastAsia="zh-CN" w:bidi="ar"/>
              </w:rPr>
              <w:t xml:space="preserve">71,398.26 </w:t>
            </w:r>
          </w:p>
        </w:tc>
        <w:tc>
          <w:tcPr>
            <w:tcW w:w="1718" w:type="dxa"/>
            <w:tcBorders>
              <w:top w:val="single" w:color="000000" w:sz="4" w:space="0"/>
              <w:left w:val="dotted" w:color="000000" w:sz="4" w:space="0"/>
              <w:bottom w:val="double" w:color="000000" w:sz="4" w:space="0"/>
              <w:right w:val="nil"/>
            </w:tcBorders>
            <w:shd w:val="clear" w:color="auto" w:fill="auto"/>
            <w:noWrap/>
            <w:vAlign w:val="center"/>
          </w:tcPr>
          <w:p w14:paraId="20DD232F">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center"/>
              <w:rPr>
                <w:rFonts w:hint="eastAsia" w:ascii="仿宋" w:hAnsi="仿宋" w:eastAsia="仿宋" w:cs="仿宋"/>
                <w:b w:val="0"/>
                <w:bCs w:val="0"/>
                <w:i w:val="0"/>
                <w:iCs w:val="0"/>
                <w:color w:val="auto"/>
                <w:sz w:val="22"/>
                <w:szCs w:val="22"/>
                <w:u w:val="none"/>
              </w:rPr>
            </w:pPr>
            <w:r>
              <w:rPr>
                <w:rFonts w:hint="eastAsia" w:ascii="仿宋" w:hAnsi="仿宋" w:eastAsia="仿宋" w:cs="仿宋"/>
                <w:b w:val="0"/>
                <w:bCs w:val="0"/>
                <w:i w:val="0"/>
                <w:iCs w:val="0"/>
                <w:color w:val="auto"/>
                <w:kern w:val="0"/>
                <w:sz w:val="22"/>
                <w:szCs w:val="22"/>
                <w:u w:val="none"/>
                <w:lang w:val="en-US" w:eastAsia="zh-CN" w:bidi="ar"/>
              </w:rPr>
              <w:t xml:space="preserve">2,434,237.60 </w:t>
            </w:r>
          </w:p>
        </w:tc>
      </w:tr>
    </w:tbl>
    <w:p w14:paraId="52A361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（2）支付的坟墓补偿相关经费合计人民币</w:t>
      </w:r>
      <w:r>
        <w:rPr>
          <w:rFonts w:hint="eastAsia" w:ascii="仿宋" w:hAnsi="仿宋" w:eastAsia="仿宋" w:cs="仿宋"/>
          <w:b w:val="0"/>
          <w:bCs w:val="0"/>
          <w:i w:val="0"/>
          <w:iCs w:val="0"/>
          <w:color w:val="000000"/>
          <w:kern w:val="0"/>
          <w:sz w:val="30"/>
          <w:szCs w:val="30"/>
          <w:u w:val="none"/>
          <w:lang w:val="en-US" w:eastAsia="zh-CN" w:bidi="ar"/>
        </w:rPr>
        <w:t>1,405,000.00元，其中包含坟墓（土筑坟及石筑坟213座）直接补偿费979,000.00元，通过相关会议讨论决定及审批的奖励款和相关工作经费276,900.00元，其他包干经费149,100.00元。</w:t>
      </w:r>
    </w:p>
    <w:p w14:paraId="3B48191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i w:val="0"/>
          <w:iCs w:val="0"/>
          <w:color w:val="000000"/>
          <w:kern w:val="0"/>
          <w:sz w:val="30"/>
          <w:szCs w:val="30"/>
          <w:u w:val="none"/>
          <w:lang w:val="en-US" w:eastAsia="zh-CN" w:bidi="ar"/>
        </w:rPr>
      </w:pPr>
      <w:r>
        <w:rPr>
          <w:rFonts w:hint="eastAsia" w:ascii="仿宋" w:hAnsi="仿宋" w:eastAsia="仿宋" w:cs="仿宋"/>
          <w:b w:val="0"/>
          <w:bCs w:val="0"/>
          <w:color w:val="000000"/>
          <w:sz w:val="30"/>
          <w:szCs w:val="30"/>
          <w:lang w:val="en-US" w:eastAsia="zh-CN"/>
        </w:rPr>
        <w:t>（3）支付的</w:t>
      </w:r>
      <w:r>
        <w:rPr>
          <w:rFonts w:hint="eastAsia" w:ascii="仿宋" w:hAnsi="仿宋" w:eastAsia="仿宋" w:cs="仿宋"/>
          <w:b w:val="0"/>
          <w:bCs w:val="0"/>
          <w:i w:val="0"/>
          <w:iCs w:val="0"/>
          <w:color w:val="000000"/>
          <w:kern w:val="0"/>
          <w:sz w:val="30"/>
          <w:szCs w:val="30"/>
          <w:u w:val="none"/>
          <w:lang w:val="en-US" w:eastAsia="zh-CN" w:bidi="ar"/>
        </w:rPr>
        <w:t>拆迁补偿费合计人民币7,569,865.00元，其中包括2020年6月5日拨付双清区征收办征拆款100,000.00元，2020年9月25日拨付双清区协调指挥部拆迁款757,663.68元，2020年9月25日拨付双清区协调指挥部拆迁款6,712,201.32元。</w:t>
      </w:r>
    </w:p>
    <w:p w14:paraId="64FEBF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i w:val="0"/>
          <w:iCs w:val="0"/>
          <w:color w:val="auto"/>
          <w:kern w:val="0"/>
          <w:sz w:val="30"/>
          <w:szCs w:val="30"/>
          <w:u w:val="none"/>
          <w:lang w:val="en-US" w:eastAsia="zh-CN" w:bidi="ar"/>
        </w:rPr>
      </w:pPr>
      <w:r>
        <w:rPr>
          <w:rFonts w:hint="eastAsia" w:ascii="仿宋" w:hAnsi="仿宋" w:eastAsia="仿宋" w:cs="仿宋"/>
          <w:b w:val="0"/>
          <w:bCs w:val="0"/>
          <w:i w:val="0"/>
          <w:iCs w:val="0"/>
          <w:color w:val="000000"/>
          <w:kern w:val="0"/>
          <w:sz w:val="30"/>
          <w:szCs w:val="30"/>
          <w:u w:val="none"/>
          <w:lang w:val="en-US" w:eastAsia="zh-CN" w:bidi="ar"/>
        </w:rPr>
        <w:t>经查，前述拆迁补偿费补偿的房屋户主包括海</w:t>
      </w:r>
      <w:r>
        <w:rPr>
          <w:rFonts w:hint="eastAsia" w:ascii="仿宋" w:hAnsi="仿宋" w:eastAsia="仿宋" w:cs="仿宋"/>
          <w:b w:val="0"/>
          <w:bCs w:val="0"/>
          <w:i w:val="0"/>
          <w:iCs w:val="0"/>
          <w:color w:val="auto"/>
          <w:kern w:val="0"/>
          <w:sz w:val="30"/>
          <w:szCs w:val="30"/>
          <w:u w:val="none"/>
          <w:lang w:val="en-US" w:eastAsia="zh-CN" w:bidi="ar"/>
        </w:rPr>
        <w:t>松益及家属、海兵、海波、马美连及家属、海涛、马香娥及孙子、海林、海静及家属，涉及的拆迁补偿合同主要有8个，全部由邵阳市双清区征地和房屋征收工作办公室签订房屋拆迁安置补偿协议书，并由安置责任单位（邵阳市土地储备中心）和监证单位（邵阳市征地拆迁事务处）签字盖章。</w:t>
      </w:r>
    </w:p>
    <w:p w14:paraId="7801CD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i w:val="0"/>
          <w:iCs w:val="0"/>
          <w:color w:val="auto"/>
          <w:kern w:val="0"/>
          <w:sz w:val="30"/>
          <w:szCs w:val="30"/>
          <w:u w:val="none"/>
          <w:lang w:val="en-US" w:eastAsia="zh-CN" w:bidi="ar"/>
        </w:rPr>
      </w:pPr>
      <w:r>
        <w:rPr>
          <w:rFonts w:hint="eastAsia" w:ascii="仿宋" w:hAnsi="仿宋" w:eastAsia="仿宋" w:cs="仿宋"/>
          <w:b w:val="0"/>
          <w:bCs w:val="0"/>
          <w:i w:val="0"/>
          <w:iCs w:val="0"/>
          <w:color w:val="auto"/>
          <w:kern w:val="0"/>
          <w:sz w:val="30"/>
          <w:szCs w:val="30"/>
          <w:u w:val="none"/>
          <w:lang w:val="en-US" w:eastAsia="zh-CN" w:bidi="ar"/>
        </w:rPr>
        <w:t>（4）支付的拆迁奖励款合计人民币2,313,960.00元，拆迁奖励款包括签约奖和房屋拆迁奖励，得到奖励的户主包括4个户主，其中签约奖合计462,792.00元，房屋拆迁奖励合计1,851,168.00元。房屋拆迁奖励款系根据2020年9月27日邵阳市双清区人民政府《关于3—7#地项目拆迁问题的会议备忘录》相关决定，依据房产市场价格变动情况而适当给与的奖励。</w:t>
      </w:r>
    </w:p>
    <w:p w14:paraId="60C199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 w:val="0"/>
          <w:bCs w:val="0"/>
          <w:i w:val="0"/>
          <w:iCs w:val="0"/>
          <w:color w:val="auto"/>
          <w:kern w:val="0"/>
          <w:sz w:val="30"/>
          <w:szCs w:val="30"/>
          <w:u w:val="none"/>
          <w:lang w:val="en-US" w:eastAsia="zh-CN" w:bidi="ar"/>
        </w:rPr>
      </w:pPr>
      <w:r>
        <w:rPr>
          <w:rFonts w:hint="eastAsia" w:ascii="仿宋" w:hAnsi="仿宋" w:eastAsia="仿宋" w:cs="仿宋"/>
          <w:b w:val="0"/>
          <w:bCs w:val="0"/>
          <w:i w:val="0"/>
          <w:iCs w:val="0"/>
          <w:color w:val="auto"/>
          <w:kern w:val="0"/>
          <w:sz w:val="30"/>
          <w:szCs w:val="30"/>
          <w:u w:val="none"/>
          <w:lang w:val="en-US" w:eastAsia="zh-CN" w:bidi="ar"/>
        </w:rPr>
        <w:t>（5）支付的社保基金合计人民币</w:t>
      </w:r>
      <w:r>
        <w:rPr>
          <w:rFonts w:hint="eastAsia" w:ascii="仿宋" w:hAnsi="仿宋" w:eastAsia="仿宋" w:cs="仿宋"/>
          <w:b w:val="0"/>
          <w:bCs w:val="0"/>
          <w:i w:val="0"/>
          <w:iCs w:val="0"/>
          <w:color w:val="000000"/>
          <w:kern w:val="0"/>
          <w:sz w:val="30"/>
          <w:szCs w:val="30"/>
          <w:u w:val="none"/>
          <w:lang w:val="en-US" w:eastAsia="zh-CN" w:bidi="ar"/>
        </w:rPr>
        <w:t>894,340.70元，包括2020年1月13日支付的社保基金两笔合计236,282.90元，2020年9月30日支付社保基金631,803.00元，2020年12月7日支付社保基金26,254.80元。</w:t>
      </w:r>
    </w:p>
    <w:p w14:paraId="4869012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（6）支付的测量费合计人民币</w:t>
      </w:r>
      <w:r>
        <w:rPr>
          <w:rFonts w:hint="eastAsia" w:ascii="仿宋" w:hAnsi="仿宋" w:eastAsia="仿宋" w:cs="仿宋"/>
          <w:b w:val="0"/>
          <w:bCs w:val="0"/>
          <w:i w:val="0"/>
          <w:iCs w:val="0"/>
          <w:color w:val="000000"/>
          <w:kern w:val="0"/>
          <w:sz w:val="30"/>
          <w:szCs w:val="30"/>
          <w:u w:val="none"/>
          <w:lang w:val="en-US" w:eastAsia="zh-CN" w:bidi="ar"/>
        </w:rPr>
        <w:t>29,262.54 元，其中包括邵阳市征地拆迁事务处与湖南万维测绘信息工程有限公司分别于2020年6月9日和7月2日签订的《集体土地征收测绘服务委托合同》和《征地边线放样测量合同》，测量工作完成，于2020年6月12日付湖南万维测绘公司测量费16,162.54元，2020年7月3日付湖南万维测绘公司放点测量费9,600.00元；2020年1月5日邵阳市征地拆迁事务处与邵阳市卓阳科技发展有限公司签订征地拆迁项目的前期数据影像采集、数据图像制作处理、矢量数据处理承包合同，2020年4月15日支付卓阳测量公司测量费3,500.00元。</w:t>
      </w:r>
    </w:p>
    <w:p w14:paraId="126400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（7）支付的</w:t>
      </w:r>
      <w:r>
        <w:rPr>
          <w:rFonts w:hint="eastAsia" w:ascii="仿宋" w:hAnsi="仿宋" w:eastAsia="仿宋" w:cs="仿宋"/>
          <w:b w:val="0"/>
          <w:bCs w:val="0"/>
          <w:i w:val="0"/>
          <w:iCs w:val="0"/>
          <w:color w:val="000000"/>
          <w:kern w:val="0"/>
          <w:sz w:val="30"/>
          <w:szCs w:val="30"/>
          <w:u w:val="none"/>
          <w:lang w:val="en-US" w:eastAsia="zh-CN" w:bidi="ar"/>
        </w:rPr>
        <w:t>征拆服务费合计人民币74,387.08元，其中包括2019年12月25日，邵阳市征地拆迁事务处与邵阳市辉华房屋拆迁有限公司、邵阳市兴远房屋拆迁有限公司签订《房屋征收拆迁服务委托合同》，2020年6月15日支付兴远房屋拆迁公司拆迁服务费17,335.08元，同日，支付辉华房屋拆迁公司拆迁服务费8,500.00元；其他征地工作服务费48,552.00元。</w:t>
      </w:r>
    </w:p>
    <w:p w14:paraId="71A260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（8）</w:t>
      </w:r>
      <w:r>
        <w:rPr>
          <w:rFonts w:hint="eastAsia" w:ascii="仿宋" w:hAnsi="仿宋" w:eastAsia="仿宋" w:cs="仿宋"/>
          <w:b w:val="0"/>
          <w:bCs w:val="0"/>
          <w:color w:val="auto"/>
          <w:sz w:val="30"/>
          <w:szCs w:val="30"/>
          <w:lang w:val="en-US" w:eastAsia="zh-CN"/>
        </w:rPr>
        <w:t>支付的其他费用合计人民币</w:t>
      </w:r>
      <w:r>
        <w:rPr>
          <w:rFonts w:hint="eastAsia" w:ascii="仿宋" w:hAnsi="仿宋" w:eastAsia="仿宋" w:cs="仿宋"/>
          <w:b w:val="0"/>
          <w:bCs w:val="0"/>
          <w:i w:val="0"/>
          <w:iCs w:val="0"/>
          <w:color w:val="auto"/>
          <w:kern w:val="0"/>
          <w:sz w:val="30"/>
          <w:szCs w:val="30"/>
          <w:u w:val="none"/>
          <w:lang w:val="en-US" w:eastAsia="zh-CN" w:bidi="ar"/>
        </w:rPr>
        <w:t>229,643.00元，其中包括2020年6月5日，邵阳市双清区征地和房屋征收工作办公室与石桥街道立新社区签订附属设施补偿协议书，补偿立新社区126,069.00元（水泥路面60,276.00元，水泥地坪7,593.00元，水泥电杆3,600.00元，砖砌护坡20,160.00元，彩钢围挡22,680.00元，活动板房11,760.00元）；2020年9月3日支付双清区协调指挥部数据采集和信息核查费80,000.00元；2021年6月22日支付湖南京诚房地产土地资产评估有限公司评估费23,574.00元（2019年12月25日，邵阳市征地拆迁事务处与湖南京诚房地产土地资产评估有限公司签订《房屋征收评估服务委托合同》，委托其提供评估服务）。</w:t>
      </w:r>
    </w:p>
    <w:p w14:paraId="033BF4E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color w:val="000000"/>
          <w:sz w:val="30"/>
          <w:szCs w:val="30"/>
          <w:lang w:eastAsia="zh-CN"/>
        </w:rPr>
      </w:pPr>
      <w:r>
        <w:rPr>
          <w:rFonts w:hint="eastAsia" w:ascii="仿宋" w:hAnsi="仿宋" w:eastAsia="仿宋" w:cs="仿宋"/>
          <w:b w:val="0"/>
          <w:bCs w:val="0"/>
          <w:color w:val="000000"/>
          <w:sz w:val="30"/>
          <w:szCs w:val="30"/>
          <w:lang w:val="en-US" w:eastAsia="zh-CN"/>
        </w:rPr>
        <w:t>（三）截止2021年6月22日，</w:t>
      </w:r>
      <w:r>
        <w:rPr>
          <w:rFonts w:hint="eastAsia" w:ascii="仿宋" w:hAnsi="仿宋" w:eastAsia="仿宋" w:cs="仿宋"/>
          <w:color w:val="000000"/>
          <w:sz w:val="30"/>
          <w:szCs w:val="30"/>
          <w:lang w:eastAsia="zh-CN"/>
        </w:rPr>
        <w:t>邵阳市征地拆迁事务处</w:t>
      </w:r>
      <w:r>
        <w:rPr>
          <w:rFonts w:hint="eastAsia" w:ascii="仿宋" w:hAnsi="仿宋" w:eastAsia="仿宋" w:cs="仿宋"/>
          <w:b w:val="0"/>
          <w:bCs w:val="0"/>
          <w:color w:val="000000"/>
          <w:sz w:val="30"/>
          <w:szCs w:val="30"/>
          <w:lang w:eastAsia="zh-CN"/>
        </w:rPr>
        <w:t>账面资金余额人民币</w:t>
      </w:r>
      <w:r>
        <w:rPr>
          <w:rFonts w:hint="eastAsia" w:ascii="仿宋" w:hAnsi="仿宋" w:eastAsia="仿宋" w:cs="仿宋"/>
          <w:b w:val="0"/>
          <w:bCs w:val="0"/>
          <w:i w:val="0"/>
          <w:iCs w:val="0"/>
          <w:color w:val="000000"/>
          <w:kern w:val="0"/>
          <w:sz w:val="30"/>
          <w:szCs w:val="30"/>
          <w:u w:val="none"/>
          <w:lang w:val="en-US" w:eastAsia="zh-CN" w:bidi="ar"/>
        </w:rPr>
        <w:t>476,426.00元。至此，累计实际支付本项目债券资金合计人民币</w:t>
      </w:r>
      <w:r>
        <w:rPr>
          <w:rFonts w:hint="eastAsia" w:ascii="仿宋" w:hAnsi="仿宋" w:eastAsia="仿宋" w:cs="仿宋"/>
          <w:b w:val="0"/>
          <w:bCs w:val="0"/>
          <w:color w:val="000000"/>
          <w:sz w:val="30"/>
          <w:szCs w:val="30"/>
          <w:lang w:eastAsia="zh-CN"/>
        </w:rPr>
        <w:t>14</w:t>
      </w:r>
      <w:r>
        <w:rPr>
          <w:rFonts w:hint="eastAsia" w:ascii="仿宋" w:hAnsi="仿宋" w:eastAsia="仿宋" w:cs="仿宋"/>
          <w:b w:val="0"/>
          <w:bCs w:val="0"/>
          <w:color w:val="000000"/>
          <w:sz w:val="30"/>
          <w:szCs w:val="30"/>
          <w:lang w:val="en-US" w:eastAsia="zh-CN"/>
        </w:rPr>
        <w:t>,</w:t>
      </w:r>
      <w:r>
        <w:rPr>
          <w:rFonts w:hint="eastAsia" w:ascii="仿宋" w:hAnsi="仿宋" w:eastAsia="仿宋" w:cs="仿宋"/>
          <w:b w:val="0"/>
          <w:bCs w:val="0"/>
          <w:color w:val="000000"/>
          <w:sz w:val="30"/>
          <w:szCs w:val="30"/>
          <w:lang w:eastAsia="zh-CN"/>
        </w:rPr>
        <w:t>950</w:t>
      </w:r>
      <w:r>
        <w:rPr>
          <w:rFonts w:hint="eastAsia" w:ascii="仿宋" w:hAnsi="仿宋" w:eastAsia="仿宋" w:cs="仿宋"/>
          <w:b w:val="0"/>
          <w:bCs w:val="0"/>
          <w:color w:val="000000"/>
          <w:sz w:val="30"/>
          <w:szCs w:val="30"/>
          <w:lang w:val="en-US" w:eastAsia="zh-CN"/>
        </w:rPr>
        <w:t>,</w:t>
      </w:r>
      <w:r>
        <w:rPr>
          <w:rFonts w:hint="eastAsia" w:ascii="仿宋" w:hAnsi="仿宋" w:eastAsia="仿宋" w:cs="仿宋"/>
          <w:b w:val="0"/>
          <w:bCs w:val="0"/>
          <w:color w:val="000000"/>
          <w:sz w:val="30"/>
          <w:szCs w:val="30"/>
          <w:lang w:eastAsia="zh-CN"/>
        </w:rPr>
        <w:t>695.92元，占实际到位债券资金的比率为93.44%。</w:t>
      </w:r>
    </w:p>
    <w:p w14:paraId="1BC6E6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jc w:val="both"/>
        <w:textAlignment w:val="auto"/>
        <w:rPr>
          <w:rFonts w:hint="eastAsia" w:ascii="仿宋" w:hAnsi="仿宋" w:eastAsia="仿宋" w:cs="仿宋"/>
          <w:b/>
          <w:bCs/>
          <w:color w:val="000000"/>
          <w:sz w:val="30"/>
          <w:szCs w:val="30"/>
          <w:lang w:eastAsia="zh-CN"/>
        </w:rPr>
      </w:pPr>
      <w:r>
        <w:rPr>
          <w:rFonts w:hint="eastAsia" w:ascii="仿宋" w:hAnsi="仿宋" w:eastAsia="仿宋" w:cs="仿宋"/>
          <w:b/>
          <w:bCs/>
          <w:color w:val="000000"/>
          <w:sz w:val="30"/>
          <w:szCs w:val="30"/>
          <w:lang w:eastAsia="zh-CN"/>
        </w:rPr>
        <w:t>五、项目实施情况</w:t>
      </w:r>
    </w:p>
    <w:p w14:paraId="43997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color w:val="000000"/>
          <w:sz w:val="30"/>
          <w:szCs w:val="30"/>
          <w:lang w:val="en-US" w:eastAsia="zh-CN"/>
        </w:rPr>
      </w:pPr>
      <w:r>
        <w:rPr>
          <w:rFonts w:hint="eastAsia" w:ascii="仿宋" w:hAnsi="仿宋" w:eastAsia="仿宋" w:cs="仿宋"/>
          <w:b w:val="0"/>
          <w:bCs w:val="0"/>
          <w:color w:val="000000"/>
          <w:sz w:val="28"/>
          <w:szCs w:val="28"/>
          <w:lang w:eastAsia="zh-CN"/>
        </w:rPr>
        <w:t>（一）</w:t>
      </w:r>
      <w:r>
        <w:rPr>
          <w:rFonts w:hint="eastAsia" w:ascii="仿宋" w:hAnsi="仿宋" w:eastAsia="仿宋" w:cs="仿宋"/>
          <w:color w:val="000000"/>
          <w:sz w:val="30"/>
          <w:szCs w:val="30"/>
          <w:lang w:val="en-US" w:eastAsia="zh-CN"/>
        </w:rPr>
        <w:t>该项目由</w:t>
      </w:r>
      <w:r>
        <w:rPr>
          <w:rFonts w:hint="eastAsia" w:ascii="仿宋" w:hAnsi="仿宋" w:eastAsia="仿宋" w:cs="仿宋"/>
          <w:color w:val="000000"/>
          <w:sz w:val="30"/>
          <w:szCs w:val="30"/>
          <w:lang w:eastAsia="zh-CN"/>
        </w:rPr>
        <w:t>邵阳市征地拆迁事务处代为实施</w:t>
      </w:r>
      <w:r>
        <w:rPr>
          <w:rFonts w:hint="eastAsia" w:ascii="仿宋" w:hAnsi="仿宋" w:eastAsia="仿宋" w:cs="仿宋"/>
          <w:color w:val="000000"/>
          <w:sz w:val="30"/>
          <w:szCs w:val="30"/>
          <w:lang w:val="en-US" w:eastAsia="zh-CN"/>
        </w:rPr>
        <w:t>,资金实行双控账户的形式进行资金管理。该项目于中国地方政府债券信息公开平台及中国债券信息网公开，债券项目资料上传至债务综合管理平台接受市财政局债务办政府债券资金监管。</w:t>
      </w:r>
    </w:p>
    <w:p w14:paraId="6E43CB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color w:val="000000"/>
          <w:sz w:val="30"/>
          <w:szCs w:val="30"/>
          <w:lang w:val="en-US" w:eastAsia="zh-CN"/>
        </w:rPr>
        <w:t>（二）本项目决策阶段通过一案两书的形式对该项目进行了风险评估，为了保证资金的安全，在实施过程中实行双控账户管理，项目产生的土地收益全额上缴邵阳市财政局，土地还本付息的工作亦通过邵阳市财政局进行。</w:t>
      </w:r>
    </w:p>
    <w:p w14:paraId="520F10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两书是指：</w:t>
      </w:r>
    </w:p>
    <w:p w14:paraId="6CEC7F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1.湖南天平正大有限责任会计师事务所：《关于2018年湖南省邵阳市土地储备专项债券（一期）项目收益与融资自求平衡专项评价报告》（湘天会专字</w:t>
      </w:r>
      <w:r>
        <w:rPr>
          <w:rFonts w:hint="eastAsia" w:ascii="仿宋" w:hAnsi="仿宋" w:eastAsia="仿宋" w:cs="仿宋"/>
          <w:sz w:val="30"/>
          <w:szCs w:val="30"/>
          <w:lang w:val="en-US" w:eastAsia="zh-CN"/>
        </w:rPr>
        <w:t>〔2018〕第115号）</w:t>
      </w:r>
      <w:r>
        <w:rPr>
          <w:rFonts w:hint="eastAsia" w:ascii="仿宋" w:hAnsi="仿宋" w:eastAsia="仿宋" w:cs="仿宋"/>
          <w:color w:val="000000"/>
          <w:sz w:val="30"/>
          <w:szCs w:val="30"/>
          <w:lang w:val="en-US" w:eastAsia="zh-CN"/>
        </w:rPr>
        <w:t>；</w:t>
      </w:r>
    </w:p>
    <w:p w14:paraId="7CF0F24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color w:val="000000"/>
          <w:sz w:val="30"/>
          <w:szCs w:val="30"/>
          <w:lang w:val="en-US" w:eastAsia="zh-CN"/>
        </w:rPr>
      </w:pPr>
      <w:r>
        <w:rPr>
          <w:rFonts w:hint="eastAsia" w:ascii="仿宋" w:hAnsi="仿宋" w:eastAsia="仿宋" w:cs="仿宋"/>
          <w:color w:val="000000"/>
          <w:sz w:val="30"/>
          <w:szCs w:val="30"/>
          <w:lang w:val="en-US" w:eastAsia="zh-CN"/>
        </w:rPr>
        <w:t>2.湖南泓锐律师事务所：《关于2018年度湖南省邵阳市土地储备专项债券（一期）法律意见书》（</w:t>
      </w:r>
      <w:r>
        <w:rPr>
          <w:rFonts w:hint="eastAsia" w:ascii="仿宋" w:hAnsi="仿宋" w:eastAsia="仿宋" w:cs="仿宋"/>
          <w:sz w:val="30"/>
          <w:szCs w:val="30"/>
          <w:lang w:val="en-US" w:eastAsia="zh-CN"/>
        </w:rPr>
        <w:t>〔2018〕</w:t>
      </w:r>
      <w:r>
        <w:rPr>
          <w:rFonts w:hint="eastAsia" w:ascii="仿宋" w:hAnsi="仿宋" w:eastAsia="仿宋" w:cs="仿宋"/>
          <w:b w:val="0"/>
          <w:bCs w:val="0"/>
          <w:color w:val="000000"/>
          <w:sz w:val="30"/>
          <w:szCs w:val="30"/>
          <w:lang w:val="en-US" w:eastAsia="zh-CN"/>
        </w:rPr>
        <w:t>泓锐意字第24号）；</w:t>
      </w:r>
    </w:p>
    <w:p w14:paraId="7B686C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（三）土地和房屋征收，根据相关专业机构实测面积，由</w:t>
      </w:r>
      <w:r>
        <w:rPr>
          <w:rFonts w:hint="eastAsia" w:ascii="仿宋" w:hAnsi="仿宋" w:eastAsia="仿宋" w:cs="仿宋"/>
          <w:b w:val="0"/>
          <w:bCs w:val="0"/>
          <w:i w:val="0"/>
          <w:iCs w:val="0"/>
          <w:color w:val="auto"/>
          <w:kern w:val="0"/>
          <w:sz w:val="30"/>
          <w:szCs w:val="30"/>
          <w:u w:val="none"/>
          <w:lang w:val="en-US" w:eastAsia="zh-CN" w:bidi="ar"/>
        </w:rPr>
        <w:t>邵阳市双清区征地和房屋征收工作办公室</w:t>
      </w:r>
      <w:r>
        <w:rPr>
          <w:rFonts w:hint="eastAsia" w:ascii="仿宋" w:hAnsi="仿宋" w:eastAsia="仿宋" w:cs="仿宋"/>
          <w:b w:val="0"/>
          <w:bCs w:val="0"/>
          <w:color w:val="000000"/>
          <w:sz w:val="30"/>
          <w:szCs w:val="30"/>
          <w:lang w:val="en-US" w:eastAsia="zh-CN"/>
        </w:rPr>
        <w:t>签订补偿合同（协议），</w:t>
      </w:r>
      <w:r>
        <w:rPr>
          <w:rFonts w:hint="eastAsia" w:ascii="仿宋" w:hAnsi="仿宋" w:eastAsia="仿宋" w:cs="仿宋"/>
          <w:b w:val="0"/>
          <w:bCs w:val="0"/>
          <w:i w:val="0"/>
          <w:iCs w:val="0"/>
          <w:color w:val="auto"/>
          <w:kern w:val="0"/>
          <w:sz w:val="30"/>
          <w:szCs w:val="30"/>
          <w:u w:val="none"/>
          <w:lang w:val="en-US" w:eastAsia="zh-CN" w:bidi="ar"/>
        </w:rPr>
        <w:t>并由安置责任单位（邵阳市土地储备中心）和监证单位（邵阳市征地拆迁事务处）签字盖章确认。</w:t>
      </w:r>
    </w:p>
    <w:p w14:paraId="1CC8AD8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eastAsia="zh-CN"/>
        </w:rPr>
      </w:pPr>
      <w:r>
        <w:rPr>
          <w:rFonts w:hint="eastAsia" w:ascii="仿宋" w:hAnsi="仿宋" w:eastAsia="仿宋" w:cs="仿宋"/>
          <w:color w:val="000000"/>
          <w:sz w:val="30"/>
          <w:szCs w:val="30"/>
          <w:lang w:val="en-US" w:eastAsia="zh-CN"/>
        </w:rPr>
        <w:t>（四）该土地开发项目如期按计划完成并出让，</w:t>
      </w:r>
      <w:r>
        <w:rPr>
          <w:rFonts w:hint="eastAsia" w:ascii="仿宋" w:hAnsi="仿宋" w:eastAsia="仿宋" w:cs="仿宋"/>
          <w:sz w:val="30"/>
          <w:szCs w:val="30"/>
          <w:lang w:val="en-US" w:eastAsia="zh-CN"/>
        </w:rPr>
        <w:t>2020年12月4日，邵阳市公共资源交易中心与湖南文韵房地产开发有限公司签订成交确认书；2021年1月12日，</w:t>
      </w:r>
      <w:r>
        <w:rPr>
          <w:rFonts w:hint="eastAsia" w:ascii="仿宋" w:hAnsi="仿宋" w:eastAsia="仿宋" w:cs="仿宋"/>
          <w:color w:val="000000"/>
          <w:sz w:val="30"/>
          <w:szCs w:val="30"/>
        </w:rPr>
        <w:t>邵阳市</w:t>
      </w:r>
      <w:r>
        <w:rPr>
          <w:rFonts w:hint="eastAsia" w:ascii="仿宋" w:hAnsi="仿宋" w:eastAsia="仿宋" w:cs="仿宋"/>
          <w:color w:val="000000"/>
          <w:sz w:val="30"/>
          <w:szCs w:val="30"/>
          <w:lang w:eastAsia="zh-CN"/>
        </w:rPr>
        <w:t>自然</w:t>
      </w:r>
      <w:r>
        <w:rPr>
          <w:rFonts w:hint="eastAsia" w:ascii="仿宋" w:hAnsi="仿宋" w:eastAsia="仿宋" w:cs="仿宋"/>
          <w:color w:val="000000"/>
          <w:sz w:val="30"/>
          <w:szCs w:val="30"/>
        </w:rPr>
        <w:t>资源</w:t>
      </w:r>
      <w:r>
        <w:rPr>
          <w:rFonts w:hint="eastAsia" w:ascii="仿宋" w:hAnsi="仿宋" w:eastAsia="仿宋" w:cs="仿宋"/>
          <w:color w:val="000000"/>
          <w:sz w:val="30"/>
          <w:szCs w:val="30"/>
          <w:lang w:eastAsia="zh-CN"/>
        </w:rPr>
        <w:t>和规划</w:t>
      </w:r>
      <w:r>
        <w:rPr>
          <w:rFonts w:hint="eastAsia" w:ascii="仿宋" w:hAnsi="仿宋" w:eastAsia="仿宋" w:cs="仿宋"/>
          <w:color w:val="000000"/>
          <w:sz w:val="30"/>
          <w:szCs w:val="30"/>
        </w:rPr>
        <w:t>局</w:t>
      </w:r>
      <w:r>
        <w:rPr>
          <w:rFonts w:hint="eastAsia" w:ascii="仿宋" w:hAnsi="仿宋" w:eastAsia="仿宋" w:cs="仿宋"/>
          <w:color w:val="000000"/>
          <w:sz w:val="30"/>
          <w:szCs w:val="30"/>
          <w:lang w:eastAsia="zh-CN"/>
        </w:rPr>
        <w:t>与</w:t>
      </w:r>
      <w:r>
        <w:rPr>
          <w:rFonts w:hint="eastAsia" w:ascii="仿宋" w:hAnsi="仿宋" w:eastAsia="仿宋" w:cs="仿宋"/>
          <w:sz w:val="30"/>
          <w:szCs w:val="30"/>
          <w:lang w:val="en-US" w:eastAsia="zh-CN"/>
        </w:rPr>
        <w:t>湖南文韵房地产开发有限公司签订《国有建设用地使用权出让合同》，土地出让价格为人民币9,870.00万元（尚有7,570.00万元未缴清），比预计收入7,337.63万元增加2,532.37万元。</w:t>
      </w:r>
    </w:p>
    <w:p w14:paraId="628BDD8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jc w:val="both"/>
        <w:textAlignment w:val="auto"/>
        <w:rPr>
          <w:rFonts w:hint="eastAsia" w:ascii="仿宋" w:hAnsi="仿宋" w:eastAsia="仿宋" w:cs="仿宋"/>
          <w:b/>
          <w:bCs/>
          <w:sz w:val="30"/>
          <w:szCs w:val="30"/>
        </w:rPr>
      </w:pPr>
      <w:r>
        <w:rPr>
          <w:rFonts w:hint="eastAsia" w:ascii="仿宋" w:hAnsi="仿宋" w:eastAsia="仿宋" w:cs="仿宋"/>
          <w:b/>
          <w:bCs/>
          <w:sz w:val="30"/>
          <w:szCs w:val="30"/>
          <w:lang w:eastAsia="zh-CN"/>
        </w:rPr>
        <w:t>六、</w:t>
      </w:r>
      <w:r>
        <w:rPr>
          <w:rFonts w:hint="eastAsia" w:ascii="仿宋" w:hAnsi="仿宋" w:eastAsia="仿宋" w:cs="仿宋"/>
          <w:b/>
          <w:bCs/>
          <w:sz w:val="30"/>
          <w:szCs w:val="30"/>
        </w:rPr>
        <w:t>制度建设和各项法律法规制度的执行情况</w:t>
      </w:r>
    </w:p>
    <w:p w14:paraId="53DDA20E">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eastAsia="黑体"/>
          <w:sz w:val="30"/>
          <w:szCs w:val="30"/>
          <w:lang w:eastAsia="zh-CN"/>
        </w:rPr>
      </w:pPr>
      <w:r>
        <w:rPr>
          <w:rFonts w:hint="eastAsia" w:ascii="仿宋" w:hAnsi="仿宋" w:eastAsia="仿宋" w:cs="仿宋"/>
          <w:sz w:val="30"/>
          <w:szCs w:val="30"/>
          <w:lang w:eastAsia="zh-CN"/>
        </w:rPr>
        <w:t>（一）制度建设情况</w:t>
      </w:r>
    </w:p>
    <w:p w14:paraId="5A4E52A4">
      <w:pPr>
        <w:keepNext w:val="0"/>
        <w:keepLines w:val="0"/>
        <w:pageBreakBefore w:val="0"/>
        <w:widowControl w:val="0"/>
        <w:numPr>
          <w:ilvl w:val="0"/>
          <w:numId w:val="0"/>
        </w:numPr>
        <w:tabs>
          <w:tab w:val="left" w:pos="1214"/>
        </w:tabs>
        <w:kinsoku/>
        <w:wordWrap/>
        <w:overflowPunct/>
        <w:topLinePunct w:val="0"/>
        <w:autoSpaceDE/>
        <w:autoSpaceDN/>
        <w:bidi w:val="0"/>
        <w:adjustRightInd/>
        <w:snapToGrid/>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邵阳市土地储备中心建立的相关制度主要有《邵阳市土地储备中心财务管理制度》、《邵阳市土地储备资金财务管理办法》、《邵阳市土地储备中心财务会审制度》，具体明确了专项资金的使用范围和管理要求，并制定了相关责任追究制度。</w:t>
      </w:r>
    </w:p>
    <w:p w14:paraId="6558E16C">
      <w:pPr>
        <w:keepNext w:val="0"/>
        <w:keepLines w:val="0"/>
        <w:pageBreakBefore w:val="0"/>
        <w:widowControl w:val="0"/>
        <w:numPr>
          <w:ilvl w:val="0"/>
          <w:numId w:val="0"/>
        </w:numPr>
        <w:tabs>
          <w:tab w:val="left" w:pos="1214"/>
        </w:tabs>
        <w:kinsoku/>
        <w:wordWrap/>
        <w:overflowPunct/>
        <w:topLinePunct w:val="0"/>
        <w:autoSpaceDE/>
        <w:autoSpaceDN/>
        <w:bidi w:val="0"/>
        <w:adjustRightInd/>
        <w:snapToGrid/>
        <w:spacing w:line="560" w:lineRule="exact"/>
        <w:ind w:left="0" w:leftChars="0" w:firstLine="600" w:firstLineChars="200"/>
        <w:textAlignment w:val="auto"/>
        <w:rPr>
          <w:rFonts w:hint="eastAsia" w:ascii="仿宋" w:hAnsi="仿宋" w:eastAsia="仿宋" w:cs="仿宋"/>
          <w:sz w:val="30"/>
          <w:szCs w:val="30"/>
          <w:lang w:eastAsia="zh-CN"/>
        </w:rPr>
      </w:pPr>
      <w:r>
        <w:rPr>
          <w:rFonts w:hint="eastAsia" w:ascii="仿宋" w:hAnsi="仿宋" w:eastAsia="仿宋" w:cs="仿宋"/>
          <w:sz w:val="30"/>
          <w:szCs w:val="30"/>
          <w:lang w:val="en-US" w:eastAsia="zh-CN"/>
        </w:rPr>
        <w:t>（二）对相关</w:t>
      </w:r>
      <w:r>
        <w:rPr>
          <w:rFonts w:hint="eastAsia" w:ascii="仿宋" w:hAnsi="仿宋" w:eastAsia="仿宋" w:cs="仿宋"/>
          <w:sz w:val="30"/>
          <w:szCs w:val="30"/>
        </w:rPr>
        <w:t>法律法规制度</w:t>
      </w:r>
      <w:r>
        <w:rPr>
          <w:rFonts w:hint="eastAsia" w:ascii="仿宋" w:hAnsi="仿宋" w:eastAsia="仿宋" w:cs="仿宋"/>
          <w:sz w:val="30"/>
          <w:szCs w:val="30"/>
          <w:lang w:eastAsia="zh-CN"/>
        </w:rPr>
        <w:t>的遵守情况</w:t>
      </w:r>
    </w:p>
    <w:p w14:paraId="4BC6F40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1、土地和房屋征收，严格依照《邵阳市集体土地征收及房屋拆迁补偿安置办法》规定的标准进行补偿，并签订相关协议（合同）。</w:t>
      </w:r>
    </w:p>
    <w:p w14:paraId="14976B7E">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2、土地出让，经邵阳市人民政府批准，严格按照《邵阳市人民政府办公室&lt;关于进一步规范和加强土地出让管理的规定&gt;的通知》等有关法律法规及规范性文件的相关规定执行。</w:t>
      </w:r>
    </w:p>
    <w:p w14:paraId="0DB27297">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3、测量服务，拆迁服务，评估服务等服务提供商，严格按照国家相关规定筛选。</w:t>
      </w:r>
    </w:p>
    <w:p w14:paraId="0185754D">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 w:hAnsi="仿宋" w:eastAsia="仿宋" w:cs="仿宋"/>
          <w:b w:val="0"/>
          <w:bCs w:val="0"/>
          <w:color w:val="000000"/>
          <w:sz w:val="30"/>
          <w:szCs w:val="30"/>
          <w:lang w:val="en-US" w:eastAsia="zh-CN"/>
        </w:rPr>
      </w:pPr>
      <w:r>
        <w:rPr>
          <w:rFonts w:hint="eastAsia" w:ascii="仿宋" w:hAnsi="仿宋" w:eastAsia="仿宋" w:cs="仿宋"/>
          <w:b w:val="0"/>
          <w:bCs w:val="0"/>
          <w:color w:val="000000"/>
          <w:sz w:val="30"/>
          <w:szCs w:val="30"/>
          <w:lang w:val="en-US" w:eastAsia="zh-CN"/>
        </w:rPr>
        <w:t>4、重大事项，经相关会议作出决定后，按决定严格执行。</w:t>
      </w:r>
    </w:p>
    <w:p w14:paraId="789E9F20">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b/>
          <w:bCs/>
          <w:sz w:val="30"/>
          <w:szCs w:val="30"/>
          <w:lang w:eastAsia="zh-CN"/>
        </w:rPr>
      </w:pPr>
      <w:r>
        <w:rPr>
          <w:rFonts w:hint="eastAsia" w:ascii="仿宋" w:hAnsi="仿宋" w:eastAsia="仿宋" w:cs="仿宋"/>
          <w:sz w:val="30"/>
          <w:szCs w:val="30"/>
          <w:lang w:eastAsia="zh-CN"/>
        </w:rPr>
        <w:t>综上所述，项目实施单位严格遵守了相关法律法规制度。</w:t>
      </w:r>
    </w:p>
    <w:p w14:paraId="584B40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jc w:val="both"/>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七、</w:t>
      </w:r>
      <w:r>
        <w:rPr>
          <w:rFonts w:hint="eastAsia" w:ascii="仿宋" w:hAnsi="仿宋" w:eastAsia="仿宋" w:cs="仿宋"/>
          <w:b/>
          <w:bCs w:val="0"/>
          <w:color w:val="auto"/>
          <w:sz w:val="30"/>
          <w:szCs w:val="30"/>
          <w:highlight w:val="none"/>
          <w:lang w:val="en-US" w:eastAsia="zh-CN"/>
        </w:rPr>
        <w:t>项目绩效评价情况</w:t>
      </w:r>
    </w:p>
    <w:p w14:paraId="142727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Cs/>
          <w:color w:val="auto"/>
          <w:sz w:val="30"/>
          <w:szCs w:val="30"/>
          <w:lang w:val="en-US" w:eastAsia="zh-CN" w:bidi="en-US"/>
        </w:rPr>
      </w:pPr>
      <w:r>
        <w:rPr>
          <w:rFonts w:hint="eastAsia" w:ascii="仿宋" w:hAnsi="仿宋" w:eastAsia="仿宋" w:cs="仿宋"/>
          <w:bCs/>
          <w:color w:val="auto"/>
          <w:sz w:val="30"/>
          <w:szCs w:val="30"/>
          <w:lang w:val="en-US" w:eastAsia="zh-CN" w:bidi="en-US"/>
        </w:rPr>
        <w:t>在邵阳市财政局绩效管理部门的指导下，绩效评价工作组人员在遵循“客观、公正、科学、规范”原则的基础上，采用“以结果为导向、基于证据”的绩效评价方法，对</w:t>
      </w:r>
      <w:r>
        <w:rPr>
          <w:rFonts w:hint="eastAsia" w:ascii="仿宋" w:hAnsi="仿宋" w:eastAsia="仿宋" w:cs="仿宋"/>
          <w:bCs/>
          <w:color w:val="auto"/>
          <w:sz w:val="30"/>
          <w:szCs w:val="30"/>
          <w:lang w:val="en-US" w:eastAsia="en-US" w:bidi="en-US"/>
        </w:rPr>
        <w:t>项目立项、资金</w:t>
      </w:r>
      <w:r>
        <w:rPr>
          <w:rFonts w:hint="eastAsia" w:ascii="仿宋" w:hAnsi="仿宋" w:eastAsia="仿宋" w:cs="仿宋"/>
          <w:bCs/>
          <w:color w:val="auto"/>
          <w:sz w:val="30"/>
          <w:szCs w:val="30"/>
          <w:lang w:val="en-US" w:eastAsia="zh-CN" w:bidi="en-US"/>
        </w:rPr>
        <w:t>投入</w:t>
      </w:r>
      <w:r>
        <w:rPr>
          <w:rFonts w:hint="eastAsia" w:ascii="仿宋" w:hAnsi="仿宋" w:eastAsia="仿宋" w:cs="仿宋"/>
          <w:bCs/>
          <w:color w:val="auto"/>
          <w:sz w:val="30"/>
          <w:szCs w:val="30"/>
          <w:lang w:val="en-US" w:eastAsia="en-US" w:bidi="en-US"/>
        </w:rPr>
        <w:t>、</w:t>
      </w:r>
      <w:r>
        <w:rPr>
          <w:rFonts w:hint="eastAsia" w:ascii="仿宋" w:hAnsi="仿宋" w:eastAsia="仿宋" w:cs="仿宋"/>
          <w:bCs/>
          <w:color w:val="auto"/>
          <w:sz w:val="30"/>
          <w:szCs w:val="30"/>
          <w:lang w:val="en-US" w:eastAsia="zh-CN" w:bidi="en-US"/>
        </w:rPr>
        <w:t>资金</w:t>
      </w:r>
      <w:r>
        <w:rPr>
          <w:rFonts w:hint="eastAsia" w:ascii="仿宋" w:hAnsi="仿宋" w:eastAsia="仿宋" w:cs="仿宋"/>
          <w:bCs/>
          <w:color w:val="auto"/>
          <w:sz w:val="30"/>
          <w:szCs w:val="30"/>
          <w:lang w:val="en-US" w:eastAsia="en-US" w:bidi="en-US"/>
        </w:rPr>
        <w:t>管理、</w:t>
      </w:r>
      <w:r>
        <w:rPr>
          <w:rFonts w:hint="eastAsia" w:ascii="仿宋" w:hAnsi="仿宋" w:eastAsia="仿宋" w:cs="仿宋"/>
          <w:bCs/>
          <w:color w:val="auto"/>
          <w:sz w:val="30"/>
          <w:szCs w:val="30"/>
          <w:lang w:val="en-US" w:eastAsia="zh-CN" w:bidi="en-US"/>
        </w:rPr>
        <w:t>项目产出、</w:t>
      </w:r>
      <w:r>
        <w:rPr>
          <w:rFonts w:hint="eastAsia" w:ascii="仿宋" w:hAnsi="仿宋" w:eastAsia="仿宋" w:cs="仿宋"/>
          <w:bCs/>
          <w:color w:val="auto"/>
          <w:sz w:val="30"/>
          <w:szCs w:val="30"/>
          <w:lang w:val="en-US" w:eastAsia="en-US" w:bidi="en-US"/>
        </w:rPr>
        <w:t>项目效益</w:t>
      </w:r>
      <w:r>
        <w:rPr>
          <w:rFonts w:hint="eastAsia" w:ascii="仿宋" w:hAnsi="仿宋" w:eastAsia="仿宋" w:cs="仿宋"/>
          <w:bCs/>
          <w:color w:val="auto"/>
          <w:sz w:val="30"/>
          <w:szCs w:val="30"/>
          <w:lang w:val="en-US" w:eastAsia="zh-CN" w:bidi="en-US"/>
        </w:rPr>
        <w:t>5</w:t>
      </w:r>
      <w:r>
        <w:rPr>
          <w:rFonts w:hint="eastAsia" w:ascii="仿宋" w:hAnsi="仿宋" w:eastAsia="仿宋" w:cs="仿宋"/>
          <w:bCs/>
          <w:color w:val="auto"/>
          <w:sz w:val="30"/>
          <w:szCs w:val="30"/>
          <w:lang w:val="en-US" w:eastAsia="en-US" w:bidi="en-US"/>
        </w:rPr>
        <w:t>大项指标逐一进行</w:t>
      </w:r>
      <w:r>
        <w:rPr>
          <w:rFonts w:hint="eastAsia" w:ascii="仿宋" w:hAnsi="仿宋" w:eastAsia="仿宋" w:cs="仿宋"/>
          <w:bCs/>
          <w:color w:val="auto"/>
          <w:sz w:val="30"/>
          <w:szCs w:val="30"/>
          <w:lang w:val="en-US" w:eastAsia="zh-CN" w:bidi="en-US"/>
        </w:rPr>
        <w:t>了分解（20个三级指标）并</w:t>
      </w:r>
      <w:r>
        <w:rPr>
          <w:rFonts w:hint="eastAsia" w:ascii="仿宋" w:hAnsi="仿宋" w:eastAsia="仿宋" w:cs="仿宋"/>
          <w:bCs/>
          <w:color w:val="auto"/>
          <w:sz w:val="30"/>
          <w:szCs w:val="30"/>
          <w:lang w:val="en-US" w:eastAsia="en-US" w:bidi="en-US"/>
        </w:rPr>
        <w:t>评价打分</w:t>
      </w:r>
      <w:r>
        <w:rPr>
          <w:rFonts w:hint="eastAsia" w:ascii="仿宋" w:hAnsi="仿宋" w:eastAsia="仿宋" w:cs="仿宋"/>
          <w:bCs/>
          <w:color w:val="auto"/>
          <w:sz w:val="30"/>
          <w:szCs w:val="30"/>
          <w:lang w:val="en-US" w:eastAsia="zh-CN" w:bidi="en-US"/>
        </w:rPr>
        <w:t>，项目总体得分86分，主要扣分原因是资金管理方面制度不够健全（扣了4分），以及项目产出方面未及时完成全部工作（项目完成率、项目完成及时性、质量达标率、成本节约率四项指标合计扣了10分）。具体评价情况：</w:t>
      </w:r>
    </w:p>
    <w:p w14:paraId="0573AB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Cs/>
          <w:sz w:val="30"/>
          <w:szCs w:val="30"/>
          <w:lang w:val="en-US" w:eastAsia="zh-CN"/>
        </w:rPr>
      </w:pPr>
      <w:r>
        <w:rPr>
          <w:rFonts w:hint="eastAsia" w:ascii="仿宋" w:hAnsi="仿宋" w:eastAsia="仿宋" w:cs="仿宋"/>
          <w:bCs/>
          <w:color w:val="auto"/>
          <w:sz w:val="30"/>
          <w:szCs w:val="30"/>
          <w:lang w:val="en-US" w:eastAsia="zh-CN" w:bidi="en-US"/>
        </w:rPr>
        <w:t>（一）项目立项（</w:t>
      </w:r>
      <w:r>
        <w:rPr>
          <w:rFonts w:hint="eastAsia" w:ascii="仿宋" w:hAnsi="仿宋" w:eastAsia="仿宋" w:cs="仿宋"/>
          <w:bCs/>
          <w:sz w:val="30"/>
          <w:szCs w:val="30"/>
          <w:lang w:val="en-US" w:eastAsia="zh-CN"/>
        </w:rPr>
        <w:t>指标分值9分，评价得分9分）</w:t>
      </w:r>
    </w:p>
    <w:p w14:paraId="2A4455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Cs/>
          <w:color w:val="auto"/>
          <w:sz w:val="32"/>
          <w:szCs w:val="32"/>
          <w:lang w:val="en-US" w:eastAsia="zh-CN" w:bidi="en-US"/>
        </w:rPr>
      </w:pPr>
      <w:r>
        <w:rPr>
          <w:rFonts w:hint="eastAsia" w:ascii="仿宋" w:hAnsi="仿宋" w:eastAsia="仿宋" w:cs="仿宋"/>
          <w:sz w:val="30"/>
          <w:szCs w:val="30"/>
          <w:lang w:val="en-US" w:eastAsia="zh-CN"/>
        </w:rPr>
        <w:t>本项目系湖南省财政厅“2018年湖南省土地储备专项债券（一期）—2018年湖南省政府专项债券（八期）”募投项目，</w:t>
      </w:r>
      <w:r>
        <w:rPr>
          <w:rFonts w:hint="eastAsia" w:ascii="仿宋" w:hAnsi="仿宋" w:eastAsia="仿宋" w:cs="仿宋"/>
          <w:color w:val="000000"/>
          <w:sz w:val="30"/>
          <w:szCs w:val="30"/>
          <w:lang w:val="en-US" w:eastAsia="zh-CN"/>
        </w:rPr>
        <w:t>决策阶段通过一案两书的形式对该项目进行了风险评估。</w:t>
      </w:r>
    </w:p>
    <w:p w14:paraId="13340C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
          <w:bCs/>
          <w:sz w:val="30"/>
          <w:szCs w:val="30"/>
          <w:lang w:val="en-US" w:eastAsia="zh-CN"/>
        </w:rPr>
      </w:pP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二</w:t>
      </w:r>
      <w:r>
        <w:rPr>
          <w:rFonts w:hint="eastAsia" w:ascii="仿宋" w:hAnsi="仿宋" w:eastAsia="仿宋" w:cs="仿宋"/>
          <w:b w:val="0"/>
          <w:bCs w:val="0"/>
          <w:sz w:val="30"/>
          <w:szCs w:val="30"/>
          <w:lang w:eastAsia="zh-CN"/>
        </w:rPr>
        <w:t>）</w:t>
      </w:r>
      <w:r>
        <w:rPr>
          <w:rFonts w:hint="eastAsia" w:ascii="仿宋" w:hAnsi="仿宋" w:eastAsia="仿宋" w:cs="仿宋"/>
          <w:bCs/>
          <w:color w:val="auto"/>
          <w:sz w:val="32"/>
          <w:szCs w:val="32"/>
          <w:lang w:val="en-US" w:eastAsia="en-US" w:bidi="en-US"/>
        </w:rPr>
        <w:t>资金</w:t>
      </w:r>
      <w:r>
        <w:rPr>
          <w:rFonts w:hint="eastAsia" w:ascii="仿宋" w:hAnsi="仿宋" w:eastAsia="仿宋" w:cs="仿宋"/>
          <w:bCs/>
          <w:color w:val="auto"/>
          <w:sz w:val="32"/>
          <w:szCs w:val="32"/>
          <w:lang w:val="en-US" w:eastAsia="zh-CN" w:bidi="en-US"/>
        </w:rPr>
        <w:t>投入（</w:t>
      </w:r>
      <w:r>
        <w:rPr>
          <w:rFonts w:hint="eastAsia" w:ascii="仿宋" w:hAnsi="仿宋" w:eastAsia="仿宋" w:cs="仿宋"/>
          <w:bCs/>
          <w:sz w:val="32"/>
          <w:szCs w:val="32"/>
          <w:lang w:val="en-US" w:eastAsia="zh-CN"/>
        </w:rPr>
        <w:t>指标分值6分，评价得分6分）</w:t>
      </w:r>
    </w:p>
    <w:p w14:paraId="028523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项目实施单位根据项目特点分别对项目</w:t>
      </w:r>
      <w:r>
        <w:rPr>
          <w:rFonts w:hint="eastAsia" w:ascii="仿宋" w:hAnsi="仿宋" w:eastAsia="仿宋" w:cs="仿宋"/>
          <w:b w:val="0"/>
          <w:bCs w:val="0"/>
          <w:i w:val="0"/>
          <w:iCs w:val="0"/>
          <w:color w:val="000000"/>
          <w:kern w:val="0"/>
          <w:sz w:val="30"/>
          <w:szCs w:val="30"/>
          <w:u w:val="none"/>
          <w:lang w:val="en-US" w:eastAsia="zh-CN" w:bidi="ar"/>
        </w:rPr>
        <w:t>报批费用，征地费用，拆迁补偿费，场地平整费</w:t>
      </w:r>
      <w:r>
        <w:rPr>
          <w:rFonts w:hint="eastAsia" w:ascii="仿宋" w:hAnsi="仿宋" w:eastAsia="仿宋" w:cs="仿宋"/>
          <w:b w:val="0"/>
          <w:bCs w:val="0"/>
          <w:sz w:val="30"/>
          <w:szCs w:val="30"/>
          <w:lang w:eastAsia="zh-CN"/>
        </w:rPr>
        <w:t>编制了比较详细的资金预算。</w:t>
      </w:r>
    </w:p>
    <w:p w14:paraId="5591B0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三</w:t>
      </w:r>
      <w:r>
        <w:rPr>
          <w:rFonts w:hint="eastAsia" w:ascii="仿宋" w:hAnsi="仿宋" w:eastAsia="仿宋" w:cs="仿宋"/>
          <w:b w:val="0"/>
          <w:bCs w:val="0"/>
          <w:sz w:val="30"/>
          <w:szCs w:val="30"/>
          <w:lang w:eastAsia="zh-CN"/>
        </w:rPr>
        <w:t>）</w:t>
      </w:r>
      <w:r>
        <w:rPr>
          <w:rFonts w:hint="eastAsia" w:ascii="仿宋" w:hAnsi="仿宋" w:eastAsia="仿宋" w:cs="仿宋"/>
          <w:bCs/>
          <w:color w:val="auto"/>
          <w:sz w:val="32"/>
          <w:szCs w:val="32"/>
          <w:lang w:val="en-US" w:eastAsia="zh-CN" w:bidi="en-US"/>
        </w:rPr>
        <w:t>资金</w:t>
      </w:r>
      <w:r>
        <w:rPr>
          <w:rFonts w:hint="eastAsia" w:ascii="仿宋" w:hAnsi="仿宋" w:eastAsia="仿宋" w:cs="仿宋"/>
          <w:bCs/>
          <w:color w:val="auto"/>
          <w:sz w:val="32"/>
          <w:szCs w:val="32"/>
          <w:lang w:val="en-US" w:eastAsia="en-US" w:bidi="en-US"/>
        </w:rPr>
        <w:t>管理</w:t>
      </w:r>
      <w:r>
        <w:rPr>
          <w:rFonts w:hint="eastAsia" w:ascii="仿宋" w:hAnsi="仿宋" w:eastAsia="仿宋" w:cs="仿宋"/>
          <w:bCs/>
          <w:color w:val="auto"/>
          <w:sz w:val="32"/>
          <w:szCs w:val="32"/>
          <w:lang w:val="en-US" w:eastAsia="zh-CN" w:bidi="en-US"/>
        </w:rPr>
        <w:t>（</w:t>
      </w:r>
      <w:r>
        <w:rPr>
          <w:rFonts w:hint="eastAsia" w:ascii="仿宋" w:hAnsi="仿宋" w:eastAsia="仿宋" w:cs="仿宋"/>
          <w:bCs/>
          <w:sz w:val="32"/>
          <w:szCs w:val="32"/>
          <w:lang w:val="en-US" w:eastAsia="zh-CN"/>
        </w:rPr>
        <w:t>指标分值25分，评价得分21分</w:t>
      </w:r>
      <w:r>
        <w:rPr>
          <w:rFonts w:hint="eastAsia" w:ascii="仿宋" w:hAnsi="仿宋" w:eastAsia="仿宋" w:cs="仿宋"/>
          <w:bCs/>
          <w:color w:val="auto"/>
          <w:sz w:val="32"/>
          <w:szCs w:val="32"/>
          <w:lang w:val="en-US" w:eastAsia="zh-CN" w:bidi="en-US"/>
        </w:rPr>
        <w:t>）</w:t>
      </w:r>
    </w:p>
    <w:p w14:paraId="33E6FE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color w:val="000000"/>
          <w:sz w:val="30"/>
          <w:szCs w:val="30"/>
          <w:lang w:val="en-US" w:eastAsia="zh-CN"/>
        </w:rPr>
      </w:pPr>
      <w:r>
        <w:rPr>
          <w:rFonts w:hint="eastAsia" w:ascii="仿宋_GB2312" w:hAnsi="宋体" w:eastAsia="仿宋_GB2312" w:cs="仿宋_GB2312"/>
          <w:b w:val="0"/>
          <w:bCs w:val="0"/>
          <w:i w:val="0"/>
          <w:color w:val="auto"/>
          <w:sz w:val="30"/>
          <w:szCs w:val="30"/>
          <w:u w:val="none"/>
          <w:lang w:eastAsia="zh-CN"/>
        </w:rPr>
        <w:t>债券资金</w:t>
      </w:r>
      <w:r>
        <w:rPr>
          <w:rFonts w:hint="eastAsia" w:ascii="仿宋_GB2312" w:hAnsi="宋体" w:eastAsia="仿宋_GB2312" w:cs="仿宋_GB2312"/>
          <w:b w:val="0"/>
          <w:bCs w:val="0"/>
          <w:i w:val="0"/>
          <w:color w:val="auto"/>
          <w:sz w:val="30"/>
          <w:szCs w:val="30"/>
          <w:u w:val="none"/>
          <w:lang w:val="en-US" w:eastAsia="zh-CN"/>
        </w:rPr>
        <w:t>1,600.00万元全部到位，</w:t>
      </w:r>
      <w:r>
        <w:rPr>
          <w:rFonts w:hint="eastAsia" w:ascii="仿宋" w:hAnsi="仿宋" w:eastAsia="仿宋" w:cs="仿宋"/>
          <w:color w:val="000000"/>
          <w:sz w:val="30"/>
          <w:szCs w:val="30"/>
          <w:lang w:val="en-US" w:eastAsia="zh-CN"/>
        </w:rPr>
        <w:t>在实施过程中实行双控账户管理，项目产生的土地收益全额上缴邵阳市财政局。</w:t>
      </w:r>
    </w:p>
    <w:p w14:paraId="18E669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 w:val="0"/>
          <w:bCs w:val="0"/>
          <w:color w:val="auto"/>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b w:val="0"/>
          <w:bCs w:val="0"/>
          <w:color w:val="auto"/>
          <w:sz w:val="30"/>
          <w:szCs w:val="30"/>
          <w:lang w:val="en-US" w:eastAsia="zh-CN"/>
        </w:rPr>
        <w:t>未建立关于本项目的具体业务管理制度，扣2分。</w:t>
      </w:r>
    </w:p>
    <w:p w14:paraId="037652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i w:val="0"/>
          <w:color w:val="auto"/>
          <w:kern w:val="0"/>
          <w:sz w:val="30"/>
          <w:szCs w:val="30"/>
          <w:u w:val="none"/>
          <w:lang w:val="en-US" w:eastAsia="zh-CN" w:bidi="ar"/>
        </w:rPr>
        <w:t>（2）项目资金管理办法符合相关财务会计制度的规定，但未就本项目制定具体、详细的本项目资金管理办法，</w:t>
      </w:r>
      <w:r>
        <w:rPr>
          <w:rFonts w:hint="eastAsia" w:ascii="仿宋" w:hAnsi="仿宋" w:eastAsia="仿宋" w:cs="仿宋"/>
          <w:b w:val="0"/>
          <w:bCs w:val="0"/>
          <w:color w:val="auto"/>
          <w:sz w:val="30"/>
          <w:szCs w:val="30"/>
          <w:lang w:val="en-US" w:eastAsia="zh-CN"/>
        </w:rPr>
        <w:t>扣2分。</w:t>
      </w:r>
    </w:p>
    <w:p w14:paraId="6C41C9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Cs/>
          <w:color w:val="auto"/>
          <w:sz w:val="32"/>
          <w:szCs w:val="32"/>
          <w:lang w:val="en-US" w:eastAsia="zh-CN" w:bidi="en-US"/>
        </w:rPr>
      </w:pPr>
      <w:r>
        <w:rPr>
          <w:rFonts w:hint="eastAsia" w:ascii="仿宋" w:hAnsi="仿宋" w:eastAsia="仿宋" w:cs="仿宋"/>
          <w:bCs/>
          <w:color w:val="auto"/>
          <w:sz w:val="32"/>
          <w:szCs w:val="32"/>
          <w:lang w:val="en-US" w:eastAsia="zh-CN" w:bidi="en-US"/>
        </w:rPr>
        <w:t>（四）项目产出（</w:t>
      </w:r>
      <w:r>
        <w:rPr>
          <w:rFonts w:hint="eastAsia" w:ascii="仿宋" w:hAnsi="仿宋" w:eastAsia="仿宋" w:cs="仿宋"/>
          <w:bCs/>
          <w:sz w:val="32"/>
          <w:szCs w:val="32"/>
          <w:lang w:val="en-US" w:eastAsia="zh-CN"/>
        </w:rPr>
        <w:t>指标分值20分，评价得分10分</w:t>
      </w:r>
      <w:r>
        <w:rPr>
          <w:rFonts w:hint="eastAsia" w:ascii="仿宋" w:hAnsi="仿宋" w:eastAsia="仿宋" w:cs="仿宋"/>
          <w:bCs/>
          <w:color w:val="auto"/>
          <w:sz w:val="32"/>
          <w:szCs w:val="32"/>
          <w:lang w:val="en-US" w:eastAsia="zh-CN" w:bidi="en-US"/>
        </w:rPr>
        <w:t>）</w:t>
      </w:r>
    </w:p>
    <w:p w14:paraId="052876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宋体" w:eastAsia="仿宋_GB2312" w:cs="仿宋_GB2312"/>
          <w:b w:val="0"/>
          <w:bCs w:val="0"/>
          <w:i w:val="0"/>
          <w:color w:val="auto"/>
          <w:sz w:val="30"/>
          <w:szCs w:val="30"/>
          <w:u w:val="none"/>
          <w:lang w:eastAsia="zh-CN"/>
        </w:rPr>
      </w:pPr>
      <w:r>
        <w:rPr>
          <w:rFonts w:hint="eastAsia" w:ascii="仿宋" w:hAnsi="仿宋" w:eastAsia="仿宋" w:cs="仿宋"/>
          <w:sz w:val="30"/>
          <w:szCs w:val="30"/>
          <w:lang w:val="en-US" w:eastAsia="zh-CN"/>
        </w:rPr>
        <w:t>项目实施单位按照计划任务如期完成了各项主要工作任务，项目地块提前出售；</w:t>
      </w:r>
      <w:r>
        <w:rPr>
          <w:rFonts w:hint="eastAsia" w:ascii="仿宋" w:hAnsi="仿宋" w:eastAsia="仿宋" w:cs="仿宋"/>
          <w:b w:val="0"/>
          <w:bCs/>
          <w:sz w:val="30"/>
          <w:szCs w:val="30"/>
          <w:lang w:val="en-US" w:eastAsia="zh-CN"/>
        </w:rPr>
        <w:t>本项目预算债券资金人民币</w:t>
      </w:r>
      <w:r>
        <w:rPr>
          <w:rFonts w:hint="eastAsia" w:ascii="仿宋" w:hAnsi="仿宋" w:eastAsia="仿宋" w:cs="仿宋"/>
          <w:b w:val="0"/>
          <w:bCs w:val="0"/>
          <w:color w:val="auto"/>
          <w:sz w:val="30"/>
          <w:szCs w:val="30"/>
          <w:lang w:val="en-US" w:eastAsia="zh-CN"/>
        </w:rPr>
        <w:t>16,000,000.00</w:t>
      </w:r>
      <w:r>
        <w:rPr>
          <w:rFonts w:hint="eastAsia" w:ascii="仿宋" w:hAnsi="仿宋" w:eastAsia="仿宋" w:cs="仿宋"/>
          <w:b w:val="0"/>
          <w:bCs/>
          <w:sz w:val="30"/>
          <w:szCs w:val="30"/>
          <w:lang w:val="en-US" w:eastAsia="zh-CN"/>
        </w:rPr>
        <w:t>元</w:t>
      </w:r>
      <w:r>
        <w:rPr>
          <w:rFonts w:hint="eastAsia" w:ascii="仿宋" w:hAnsi="仿宋" w:eastAsia="仿宋" w:cs="仿宋"/>
          <w:i w:val="0"/>
          <w:color w:val="000000"/>
          <w:kern w:val="0"/>
          <w:sz w:val="30"/>
          <w:szCs w:val="30"/>
          <w:u w:val="none"/>
          <w:lang w:val="en-US" w:eastAsia="zh-CN" w:bidi="ar"/>
        </w:rPr>
        <w:t>，实际支付</w:t>
      </w:r>
      <w:r>
        <w:rPr>
          <w:rFonts w:hint="eastAsia" w:ascii="仿宋" w:hAnsi="仿宋" w:eastAsia="仿宋" w:cs="仿宋"/>
          <w:b w:val="0"/>
          <w:bCs w:val="0"/>
          <w:i w:val="0"/>
          <w:iCs w:val="0"/>
          <w:color w:val="000000"/>
          <w:kern w:val="0"/>
          <w:sz w:val="30"/>
          <w:szCs w:val="30"/>
          <w:u w:val="none"/>
          <w:lang w:val="en-US" w:eastAsia="zh-CN" w:bidi="ar"/>
        </w:rPr>
        <w:t>人民币</w:t>
      </w:r>
      <w:r>
        <w:rPr>
          <w:rFonts w:hint="eastAsia" w:ascii="仿宋" w:hAnsi="仿宋" w:eastAsia="仿宋" w:cs="仿宋"/>
          <w:b w:val="0"/>
          <w:bCs w:val="0"/>
          <w:color w:val="000000"/>
          <w:sz w:val="30"/>
          <w:szCs w:val="30"/>
          <w:lang w:eastAsia="zh-CN"/>
        </w:rPr>
        <w:t>14</w:t>
      </w:r>
      <w:r>
        <w:rPr>
          <w:rFonts w:hint="eastAsia" w:ascii="仿宋" w:hAnsi="仿宋" w:eastAsia="仿宋" w:cs="仿宋"/>
          <w:b w:val="0"/>
          <w:bCs w:val="0"/>
          <w:color w:val="000000"/>
          <w:sz w:val="30"/>
          <w:szCs w:val="30"/>
          <w:lang w:val="en-US" w:eastAsia="zh-CN"/>
        </w:rPr>
        <w:t>,</w:t>
      </w:r>
      <w:r>
        <w:rPr>
          <w:rFonts w:hint="eastAsia" w:ascii="仿宋" w:hAnsi="仿宋" w:eastAsia="仿宋" w:cs="仿宋"/>
          <w:b w:val="0"/>
          <w:bCs w:val="0"/>
          <w:color w:val="000000"/>
          <w:sz w:val="30"/>
          <w:szCs w:val="30"/>
          <w:lang w:eastAsia="zh-CN"/>
        </w:rPr>
        <w:t>950</w:t>
      </w:r>
      <w:r>
        <w:rPr>
          <w:rFonts w:hint="eastAsia" w:ascii="仿宋" w:hAnsi="仿宋" w:eastAsia="仿宋" w:cs="仿宋"/>
          <w:b w:val="0"/>
          <w:bCs w:val="0"/>
          <w:color w:val="000000"/>
          <w:sz w:val="30"/>
          <w:szCs w:val="30"/>
          <w:lang w:val="en-US" w:eastAsia="zh-CN"/>
        </w:rPr>
        <w:t>,</w:t>
      </w:r>
      <w:r>
        <w:rPr>
          <w:rFonts w:hint="eastAsia" w:ascii="仿宋" w:hAnsi="仿宋" w:eastAsia="仿宋" w:cs="仿宋"/>
          <w:b w:val="0"/>
          <w:bCs w:val="0"/>
          <w:color w:val="000000"/>
          <w:sz w:val="30"/>
          <w:szCs w:val="30"/>
          <w:lang w:eastAsia="zh-CN"/>
        </w:rPr>
        <w:t>695.92元，占实际到位债券资金的比率为93.44%，略有节余；</w:t>
      </w:r>
      <w:r>
        <w:rPr>
          <w:rFonts w:hint="eastAsia" w:ascii="仿宋" w:hAnsi="仿宋" w:eastAsia="仿宋" w:cs="仿宋"/>
          <w:i w:val="0"/>
          <w:color w:val="auto"/>
          <w:kern w:val="0"/>
          <w:sz w:val="30"/>
          <w:szCs w:val="30"/>
          <w:u w:val="none"/>
          <w:lang w:val="en-US" w:eastAsia="zh-CN" w:bidi="ar"/>
        </w:rPr>
        <w:t>截止目前为止，已付款项目全面完成相关工作或已提交工作成果。</w:t>
      </w:r>
    </w:p>
    <w:p w14:paraId="2D65B8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_GB2312" w:hAnsi="宋体" w:eastAsia="仿宋_GB2312" w:cs="仿宋_GB2312"/>
          <w:b w:val="0"/>
          <w:bCs w:val="0"/>
          <w:i w:val="0"/>
          <w:color w:val="auto"/>
          <w:sz w:val="30"/>
          <w:szCs w:val="30"/>
          <w:u w:val="none"/>
          <w:lang w:val="en-US" w:eastAsia="zh-CN"/>
        </w:rPr>
      </w:pPr>
      <w:r>
        <w:rPr>
          <w:rFonts w:hint="eastAsia" w:ascii="仿宋_GB2312" w:hAnsi="宋体" w:eastAsia="仿宋_GB2312" w:cs="仿宋_GB2312"/>
          <w:b w:val="0"/>
          <w:bCs w:val="0"/>
          <w:i w:val="0"/>
          <w:color w:val="auto"/>
          <w:sz w:val="30"/>
          <w:szCs w:val="30"/>
          <w:u w:val="none"/>
          <w:lang w:eastAsia="zh-CN"/>
        </w:rPr>
        <w:t>（</w:t>
      </w:r>
      <w:r>
        <w:rPr>
          <w:rFonts w:hint="eastAsia" w:ascii="仿宋_GB2312" w:hAnsi="宋体" w:eastAsia="仿宋_GB2312" w:cs="仿宋_GB2312"/>
          <w:b w:val="0"/>
          <w:bCs w:val="0"/>
          <w:i w:val="0"/>
          <w:color w:val="auto"/>
          <w:sz w:val="30"/>
          <w:szCs w:val="30"/>
          <w:u w:val="none"/>
          <w:lang w:val="en-US" w:eastAsia="zh-CN"/>
        </w:rPr>
        <w:t>1</w:t>
      </w:r>
      <w:r>
        <w:rPr>
          <w:rFonts w:hint="eastAsia" w:ascii="仿宋_GB2312" w:hAnsi="宋体" w:eastAsia="仿宋_GB2312" w:cs="仿宋_GB2312"/>
          <w:b w:val="0"/>
          <w:bCs w:val="0"/>
          <w:i w:val="0"/>
          <w:color w:val="auto"/>
          <w:sz w:val="30"/>
          <w:szCs w:val="30"/>
          <w:u w:val="none"/>
          <w:lang w:eastAsia="zh-CN"/>
        </w:rPr>
        <w:t>）本项目虽然大多数工作已完成，但尚有个别遗留问题未处理，因此项目未</w:t>
      </w:r>
      <w:r>
        <w:rPr>
          <w:rFonts w:hint="eastAsia" w:ascii="仿宋_GB2312" w:hAnsi="宋体" w:eastAsia="仿宋_GB2312" w:cs="仿宋_GB2312"/>
          <w:b w:val="0"/>
          <w:bCs w:val="0"/>
          <w:i w:val="0"/>
          <w:color w:val="auto"/>
          <w:sz w:val="30"/>
          <w:szCs w:val="30"/>
          <w:u w:val="none"/>
          <w:lang w:val="en-US" w:eastAsia="zh-CN"/>
        </w:rPr>
        <w:t>100%全部完成，项目完成率指标</w:t>
      </w:r>
      <w:r>
        <w:rPr>
          <w:rFonts w:hint="eastAsia" w:ascii="仿宋_GB2312" w:hAnsi="宋体" w:eastAsia="仿宋_GB2312" w:cs="仿宋_GB2312"/>
          <w:b w:val="0"/>
          <w:bCs w:val="0"/>
          <w:i w:val="0"/>
          <w:color w:val="auto"/>
          <w:sz w:val="30"/>
          <w:szCs w:val="30"/>
          <w:u w:val="none"/>
          <w:lang w:eastAsia="zh-CN"/>
        </w:rPr>
        <w:t>扣</w:t>
      </w:r>
      <w:r>
        <w:rPr>
          <w:rFonts w:hint="eastAsia" w:ascii="仿宋_GB2312" w:hAnsi="宋体" w:eastAsia="仿宋_GB2312" w:cs="仿宋_GB2312"/>
          <w:b w:val="0"/>
          <w:bCs w:val="0"/>
          <w:i w:val="0"/>
          <w:color w:val="auto"/>
          <w:sz w:val="30"/>
          <w:szCs w:val="30"/>
          <w:u w:val="none"/>
          <w:lang w:val="en-US" w:eastAsia="zh-CN"/>
        </w:rPr>
        <w:t>3分。</w:t>
      </w:r>
      <w:r>
        <w:rPr>
          <w:rFonts w:hint="eastAsia" w:ascii="仿宋_GB2312" w:hAnsi="宋体" w:eastAsia="仿宋_GB2312" w:cs="仿宋_GB2312"/>
          <w:b w:val="0"/>
          <w:bCs w:val="0"/>
          <w:i w:val="0"/>
          <w:color w:val="auto"/>
          <w:sz w:val="30"/>
          <w:szCs w:val="30"/>
          <w:u w:val="none"/>
          <w:lang w:eastAsia="zh-CN"/>
        </w:rPr>
        <w:t>本项目大多数工作已完成，但尚有个别遗留问题未及时处理，项目完成及时性指标扣</w:t>
      </w:r>
      <w:r>
        <w:rPr>
          <w:rFonts w:hint="eastAsia" w:ascii="仿宋_GB2312" w:hAnsi="宋体" w:eastAsia="仿宋_GB2312" w:cs="仿宋_GB2312"/>
          <w:b w:val="0"/>
          <w:bCs w:val="0"/>
          <w:i w:val="0"/>
          <w:color w:val="auto"/>
          <w:sz w:val="30"/>
          <w:szCs w:val="30"/>
          <w:u w:val="none"/>
          <w:lang w:val="en-US" w:eastAsia="zh-CN"/>
        </w:rPr>
        <w:t>2分。</w:t>
      </w:r>
    </w:p>
    <w:p w14:paraId="71B3C4A2">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00" w:firstLineChars="200"/>
        <w:jc w:val="both"/>
        <w:textAlignment w:val="auto"/>
        <w:rPr>
          <w:rFonts w:hint="eastAsia" w:ascii="仿宋_GB2312" w:hAnsi="宋体" w:eastAsia="仿宋_GB2312" w:cs="仿宋_GB2312"/>
          <w:b w:val="0"/>
          <w:bCs w:val="0"/>
          <w:i w:val="0"/>
          <w:color w:val="auto"/>
          <w:sz w:val="30"/>
          <w:szCs w:val="30"/>
          <w:u w:val="none"/>
          <w:lang w:val="en-US" w:eastAsia="zh-CN"/>
        </w:rPr>
      </w:pPr>
      <w:r>
        <w:rPr>
          <w:rFonts w:hint="eastAsia" w:ascii="仿宋_GB2312" w:hAnsi="宋体" w:eastAsia="仿宋_GB2312" w:cs="仿宋_GB2312"/>
          <w:b w:val="0"/>
          <w:bCs w:val="0"/>
          <w:i w:val="0"/>
          <w:color w:val="auto"/>
          <w:sz w:val="30"/>
          <w:szCs w:val="30"/>
          <w:u w:val="none"/>
          <w:lang w:eastAsia="zh-CN"/>
        </w:rPr>
        <w:t>部分子项目包括测量服务、征拆服务等无书面、详细的验收报告，</w:t>
      </w:r>
      <w:r>
        <w:rPr>
          <w:rFonts w:hint="eastAsia" w:ascii="仿宋_GB2312" w:hAnsi="宋体" w:eastAsia="仿宋_GB2312" w:cs="仿宋_GB2312"/>
          <w:b w:val="0"/>
          <w:bCs w:val="0"/>
          <w:i w:val="0"/>
          <w:color w:val="auto"/>
          <w:kern w:val="0"/>
          <w:sz w:val="30"/>
          <w:szCs w:val="30"/>
          <w:u w:val="none"/>
          <w:lang w:val="en-US" w:eastAsia="zh-CN" w:bidi="ar"/>
        </w:rPr>
        <w:t>质量达标率指标</w:t>
      </w:r>
      <w:r>
        <w:rPr>
          <w:rFonts w:hint="eastAsia" w:ascii="仿宋_GB2312" w:hAnsi="宋体" w:eastAsia="仿宋_GB2312" w:cs="仿宋_GB2312"/>
          <w:b w:val="0"/>
          <w:bCs w:val="0"/>
          <w:i w:val="0"/>
          <w:color w:val="auto"/>
          <w:sz w:val="30"/>
          <w:szCs w:val="30"/>
          <w:u w:val="none"/>
          <w:lang w:eastAsia="zh-CN"/>
        </w:rPr>
        <w:t>扣</w:t>
      </w:r>
      <w:r>
        <w:rPr>
          <w:rFonts w:hint="eastAsia" w:ascii="仿宋_GB2312" w:hAnsi="宋体" w:eastAsia="仿宋_GB2312" w:cs="仿宋_GB2312"/>
          <w:b w:val="0"/>
          <w:bCs w:val="0"/>
          <w:i w:val="0"/>
          <w:color w:val="auto"/>
          <w:sz w:val="30"/>
          <w:szCs w:val="30"/>
          <w:u w:val="none"/>
          <w:lang w:val="en-US" w:eastAsia="zh-CN"/>
        </w:rPr>
        <w:t>2分。</w:t>
      </w:r>
    </w:p>
    <w:p w14:paraId="1497D6D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i w:val="0"/>
          <w:color w:val="auto"/>
          <w:sz w:val="30"/>
          <w:szCs w:val="30"/>
          <w:u w:val="none"/>
          <w:lang w:val="en-US" w:eastAsia="zh-CN"/>
        </w:rPr>
      </w:pPr>
      <w:r>
        <w:rPr>
          <w:rFonts w:hint="eastAsia" w:ascii="仿宋" w:hAnsi="仿宋" w:eastAsia="仿宋" w:cs="仿宋"/>
          <w:b w:val="0"/>
          <w:bCs w:val="0"/>
          <w:i w:val="0"/>
          <w:color w:val="auto"/>
          <w:sz w:val="30"/>
          <w:szCs w:val="30"/>
          <w:u w:val="none"/>
          <w:lang w:eastAsia="zh-CN"/>
        </w:rPr>
        <w:t>（</w:t>
      </w:r>
      <w:r>
        <w:rPr>
          <w:rFonts w:hint="eastAsia" w:ascii="仿宋" w:hAnsi="仿宋" w:eastAsia="仿宋" w:cs="仿宋"/>
          <w:b w:val="0"/>
          <w:bCs w:val="0"/>
          <w:i w:val="0"/>
          <w:color w:val="auto"/>
          <w:sz w:val="30"/>
          <w:szCs w:val="30"/>
          <w:u w:val="none"/>
          <w:lang w:val="en-US" w:eastAsia="zh-CN"/>
        </w:rPr>
        <w:t>3</w:t>
      </w:r>
      <w:r>
        <w:rPr>
          <w:rFonts w:hint="eastAsia" w:ascii="仿宋" w:hAnsi="仿宋" w:eastAsia="仿宋" w:cs="仿宋"/>
          <w:b w:val="0"/>
          <w:bCs w:val="0"/>
          <w:i w:val="0"/>
          <w:color w:val="auto"/>
          <w:sz w:val="30"/>
          <w:szCs w:val="30"/>
          <w:u w:val="none"/>
          <w:lang w:eastAsia="zh-CN"/>
        </w:rPr>
        <w:t>）本项目总开发成本尚未结算，</w:t>
      </w:r>
      <w:r>
        <w:rPr>
          <w:rFonts w:hint="eastAsia" w:ascii="仿宋" w:hAnsi="仿宋" w:eastAsia="仿宋" w:cs="仿宋"/>
          <w:b w:val="0"/>
          <w:bCs w:val="0"/>
          <w:i w:val="0"/>
          <w:color w:val="auto"/>
          <w:kern w:val="0"/>
          <w:sz w:val="30"/>
          <w:szCs w:val="30"/>
          <w:u w:val="none"/>
          <w:lang w:val="en-US" w:eastAsia="zh-CN" w:bidi="ar"/>
        </w:rPr>
        <w:t>成本节约率指标</w:t>
      </w:r>
      <w:r>
        <w:rPr>
          <w:rFonts w:hint="eastAsia" w:ascii="仿宋" w:hAnsi="仿宋" w:eastAsia="仿宋" w:cs="仿宋"/>
          <w:b w:val="0"/>
          <w:bCs w:val="0"/>
          <w:i w:val="0"/>
          <w:color w:val="auto"/>
          <w:sz w:val="30"/>
          <w:szCs w:val="30"/>
          <w:u w:val="none"/>
          <w:lang w:eastAsia="zh-CN"/>
        </w:rPr>
        <w:t>扣</w:t>
      </w:r>
      <w:r>
        <w:rPr>
          <w:rFonts w:hint="eastAsia" w:ascii="仿宋" w:hAnsi="仿宋" w:eastAsia="仿宋" w:cs="仿宋"/>
          <w:b w:val="0"/>
          <w:bCs w:val="0"/>
          <w:i w:val="0"/>
          <w:color w:val="auto"/>
          <w:sz w:val="30"/>
          <w:szCs w:val="30"/>
          <w:u w:val="none"/>
          <w:lang w:val="en-US" w:eastAsia="zh-CN"/>
        </w:rPr>
        <w:t>3分。</w:t>
      </w:r>
    </w:p>
    <w:p w14:paraId="3BD2FC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仿宋" w:hAnsi="仿宋" w:eastAsia="仿宋" w:cs="仿宋"/>
          <w:bCs/>
          <w:color w:val="auto"/>
          <w:sz w:val="32"/>
          <w:szCs w:val="32"/>
          <w:lang w:val="en-US" w:eastAsia="en-US" w:bidi="en-US"/>
        </w:rPr>
      </w:pPr>
      <w:r>
        <w:rPr>
          <w:rFonts w:hint="eastAsia" w:ascii="仿宋" w:hAnsi="仿宋" w:eastAsia="仿宋" w:cs="仿宋"/>
          <w:bCs/>
          <w:color w:val="auto"/>
          <w:sz w:val="32"/>
          <w:szCs w:val="32"/>
          <w:lang w:val="en-US" w:eastAsia="zh-CN" w:bidi="en-US"/>
        </w:rPr>
        <w:t>（五）</w:t>
      </w:r>
      <w:r>
        <w:rPr>
          <w:rFonts w:hint="eastAsia" w:ascii="仿宋" w:hAnsi="仿宋" w:eastAsia="仿宋" w:cs="仿宋"/>
          <w:bCs/>
          <w:color w:val="auto"/>
          <w:sz w:val="32"/>
          <w:szCs w:val="32"/>
          <w:lang w:val="en-US" w:eastAsia="en-US" w:bidi="en-US"/>
        </w:rPr>
        <w:t>项目效益</w:t>
      </w:r>
      <w:r>
        <w:rPr>
          <w:rFonts w:hint="eastAsia" w:ascii="仿宋" w:hAnsi="仿宋" w:eastAsia="仿宋" w:cs="仿宋"/>
          <w:bCs/>
          <w:color w:val="auto"/>
          <w:sz w:val="32"/>
          <w:szCs w:val="32"/>
          <w:lang w:val="en-US" w:eastAsia="zh-CN" w:bidi="en-US"/>
        </w:rPr>
        <w:t>（</w:t>
      </w:r>
      <w:r>
        <w:rPr>
          <w:rFonts w:hint="eastAsia" w:ascii="仿宋" w:hAnsi="仿宋" w:eastAsia="仿宋" w:cs="仿宋"/>
          <w:bCs/>
          <w:sz w:val="32"/>
          <w:szCs w:val="32"/>
          <w:lang w:val="en-US" w:eastAsia="zh-CN"/>
        </w:rPr>
        <w:t>指标分值40分，评价得分40分</w:t>
      </w:r>
      <w:r>
        <w:rPr>
          <w:rFonts w:hint="eastAsia" w:ascii="仿宋" w:hAnsi="仿宋" w:eastAsia="仿宋" w:cs="仿宋"/>
          <w:bCs/>
          <w:color w:val="auto"/>
          <w:sz w:val="32"/>
          <w:szCs w:val="32"/>
          <w:lang w:val="en-US" w:eastAsia="zh-CN" w:bidi="en-US"/>
        </w:rPr>
        <w:t>）</w:t>
      </w:r>
    </w:p>
    <w:p w14:paraId="05E3A3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bCs/>
          <w:color w:val="auto"/>
          <w:sz w:val="32"/>
          <w:szCs w:val="32"/>
          <w:lang w:val="en-US" w:eastAsia="zh-CN" w:bidi="en-US"/>
        </w:rPr>
      </w:pPr>
      <w:r>
        <w:rPr>
          <w:rFonts w:hint="eastAsia" w:ascii="仿宋" w:hAnsi="仿宋" w:eastAsia="仿宋" w:cs="仿宋"/>
          <w:bCs/>
          <w:color w:val="auto"/>
          <w:sz w:val="32"/>
          <w:szCs w:val="32"/>
          <w:lang w:val="en-US" w:eastAsia="zh-CN" w:bidi="en-US"/>
        </w:rPr>
        <w:t>（1）经济效益（</w:t>
      </w:r>
      <w:r>
        <w:rPr>
          <w:rFonts w:hint="eastAsia" w:ascii="仿宋" w:hAnsi="仿宋" w:eastAsia="仿宋" w:cs="仿宋"/>
          <w:bCs/>
          <w:sz w:val="32"/>
          <w:szCs w:val="32"/>
          <w:lang w:val="en-US" w:eastAsia="zh-CN"/>
        </w:rPr>
        <w:t>指标分值8分，评价得分8分</w:t>
      </w:r>
      <w:r>
        <w:rPr>
          <w:rFonts w:hint="eastAsia" w:ascii="仿宋" w:hAnsi="仿宋" w:eastAsia="仿宋" w:cs="仿宋"/>
          <w:bCs/>
          <w:color w:val="auto"/>
          <w:sz w:val="32"/>
          <w:szCs w:val="32"/>
          <w:lang w:val="en-US" w:eastAsia="zh-CN" w:bidi="en-US"/>
        </w:rPr>
        <w:t>）</w:t>
      </w:r>
    </w:p>
    <w:p w14:paraId="55590785">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通过实施该项目，积极报批，推进了商住相关事业进一步发展；依法征地拆迁，积极开展征拆工作，为项目建设提供了适当的土地储备保障，加快了本地经济的发展；坚持城乡规划引领城镇发展，合理布局生产建设、生活居住、商贸、公共设施，减少重复建设；及时发放征地、拆迁补偿资金，增加了居民收入；项目支出未列支无关开支；项目的开发有利于招商引资，促进本地经济发展。</w:t>
      </w:r>
    </w:p>
    <w:p w14:paraId="227E1E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jc w:val="both"/>
        <w:textAlignment w:val="auto"/>
        <w:rPr>
          <w:rFonts w:hint="default" w:ascii="仿宋" w:hAnsi="仿宋" w:eastAsia="仿宋" w:cs="仿宋"/>
          <w:bCs/>
          <w:color w:val="auto"/>
          <w:sz w:val="32"/>
          <w:szCs w:val="32"/>
          <w:lang w:val="en-US" w:eastAsia="zh-CN" w:bidi="en-US"/>
        </w:rPr>
      </w:pPr>
      <w:r>
        <w:rPr>
          <w:rFonts w:hint="eastAsia" w:ascii="仿宋" w:hAnsi="仿宋" w:eastAsia="仿宋" w:cs="仿宋"/>
          <w:bCs/>
          <w:color w:val="auto"/>
          <w:sz w:val="32"/>
          <w:szCs w:val="32"/>
          <w:lang w:val="en-US" w:eastAsia="zh-CN" w:bidi="en-US"/>
        </w:rPr>
        <w:t>（2）社会效益（</w:t>
      </w:r>
      <w:r>
        <w:rPr>
          <w:rFonts w:hint="eastAsia" w:ascii="仿宋" w:hAnsi="仿宋" w:eastAsia="仿宋" w:cs="仿宋"/>
          <w:bCs/>
          <w:sz w:val="32"/>
          <w:szCs w:val="32"/>
          <w:lang w:val="en-US" w:eastAsia="zh-CN"/>
        </w:rPr>
        <w:t>指标分值8分，评价得分8分</w:t>
      </w:r>
      <w:r>
        <w:rPr>
          <w:rFonts w:hint="eastAsia" w:ascii="仿宋" w:hAnsi="仿宋" w:eastAsia="仿宋" w:cs="仿宋"/>
          <w:bCs/>
          <w:color w:val="auto"/>
          <w:sz w:val="32"/>
          <w:szCs w:val="32"/>
          <w:lang w:val="en-US" w:eastAsia="zh-CN" w:bidi="en-US"/>
        </w:rPr>
        <w:t>）</w:t>
      </w:r>
    </w:p>
    <w:p w14:paraId="7A8FBA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通过实施该项目，依法征地拆迁，妥善安置相关住户，及时化解与征拆相关的各种矛盾，密切了干群关系，维护了社会稳定；</w:t>
      </w:r>
    </w:p>
    <w:p w14:paraId="32F26D5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通过实施该项目，切实改善了城市局部面貌，提高了城市品质；</w:t>
      </w:r>
    </w:p>
    <w:p w14:paraId="2AA8865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通过积极宣传，被征拆住户熟知相关征地、拆迁补偿政策；征地拆迁工作公开透明，公平、公正，群众拥护。</w:t>
      </w:r>
    </w:p>
    <w:p w14:paraId="2C14F0E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（3）</w:t>
      </w:r>
      <w:r>
        <w:rPr>
          <w:rFonts w:hint="eastAsia" w:ascii="仿宋_GB2312" w:hAnsi="宋体" w:eastAsia="仿宋_GB2312" w:cs="仿宋_GB2312"/>
          <w:i w:val="0"/>
          <w:color w:val="auto"/>
          <w:kern w:val="0"/>
          <w:sz w:val="30"/>
          <w:szCs w:val="30"/>
          <w:u w:val="none"/>
          <w:lang w:val="en-US" w:eastAsia="zh-CN" w:bidi="ar"/>
        </w:rPr>
        <w:t>生态效益</w:t>
      </w:r>
      <w:r>
        <w:rPr>
          <w:rFonts w:hint="eastAsia" w:ascii="仿宋" w:hAnsi="仿宋" w:eastAsia="仿宋" w:cs="仿宋"/>
          <w:bCs/>
          <w:color w:val="auto"/>
          <w:sz w:val="32"/>
          <w:szCs w:val="32"/>
          <w:lang w:val="en-US" w:eastAsia="zh-CN" w:bidi="en-US"/>
        </w:rPr>
        <w:t>（</w:t>
      </w:r>
      <w:r>
        <w:rPr>
          <w:rFonts w:hint="eastAsia" w:ascii="仿宋" w:hAnsi="仿宋" w:eastAsia="仿宋" w:cs="仿宋"/>
          <w:bCs/>
          <w:sz w:val="32"/>
          <w:szCs w:val="32"/>
          <w:lang w:val="en-US" w:eastAsia="zh-CN"/>
        </w:rPr>
        <w:t>指标分值8分，评价得分8分</w:t>
      </w:r>
      <w:r>
        <w:rPr>
          <w:rFonts w:hint="eastAsia" w:ascii="仿宋" w:hAnsi="仿宋" w:eastAsia="仿宋" w:cs="仿宋"/>
          <w:bCs/>
          <w:color w:val="auto"/>
          <w:sz w:val="32"/>
          <w:szCs w:val="32"/>
          <w:lang w:val="en-US" w:eastAsia="zh-CN" w:bidi="en-US"/>
        </w:rPr>
        <w:t>）</w:t>
      </w:r>
    </w:p>
    <w:p w14:paraId="081176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i w:val="0"/>
          <w:color w:val="auto"/>
          <w:kern w:val="0"/>
          <w:sz w:val="30"/>
          <w:szCs w:val="30"/>
          <w:u w:val="none"/>
          <w:lang w:val="en-US" w:eastAsia="zh-CN" w:bidi="ar"/>
        </w:rPr>
      </w:pPr>
      <w:r>
        <w:rPr>
          <w:rFonts w:hint="eastAsia" w:ascii="仿宋" w:hAnsi="仿宋" w:eastAsia="仿宋" w:cs="仿宋"/>
          <w:color w:val="auto"/>
          <w:sz w:val="30"/>
          <w:szCs w:val="30"/>
          <w:lang w:val="en-US" w:eastAsia="zh-CN"/>
        </w:rPr>
        <w:t>坚持城乡规划引领城镇发展，合理布局生产建设、生活居住、商贸、公共设施，实现人与自然的和谐</w:t>
      </w:r>
      <w:r>
        <w:rPr>
          <w:rFonts w:hint="eastAsia" w:ascii="仿宋" w:hAnsi="仿宋" w:eastAsia="仿宋" w:cs="仿宋"/>
          <w:i w:val="0"/>
          <w:color w:val="auto"/>
          <w:kern w:val="0"/>
          <w:sz w:val="30"/>
          <w:szCs w:val="30"/>
          <w:u w:val="none"/>
          <w:lang w:val="en-US" w:eastAsia="zh-CN" w:bidi="ar"/>
        </w:rPr>
        <w:t>；通过对片区整体规划布局，更有利于美化商住环境。</w:t>
      </w:r>
    </w:p>
    <w:p w14:paraId="437155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i w:val="0"/>
          <w:color w:val="auto"/>
          <w:kern w:val="0"/>
          <w:sz w:val="30"/>
          <w:szCs w:val="30"/>
          <w:u w:val="none"/>
          <w:lang w:val="en-US" w:eastAsia="zh-CN" w:bidi="ar"/>
        </w:rPr>
      </w:pPr>
      <w:r>
        <w:rPr>
          <w:rFonts w:hint="eastAsia" w:ascii="仿宋" w:hAnsi="仿宋" w:eastAsia="仿宋" w:cs="仿宋"/>
          <w:i w:val="0"/>
          <w:color w:val="auto"/>
          <w:kern w:val="0"/>
          <w:sz w:val="30"/>
          <w:szCs w:val="30"/>
          <w:u w:val="none"/>
          <w:lang w:val="en-US" w:eastAsia="zh-CN" w:bidi="ar"/>
        </w:rPr>
        <w:t>（4）</w:t>
      </w:r>
      <w:r>
        <w:rPr>
          <w:rFonts w:hint="eastAsia" w:ascii="仿宋" w:hAnsi="仿宋" w:eastAsia="仿宋" w:cs="仿宋"/>
          <w:b w:val="0"/>
          <w:bCs w:val="0"/>
          <w:i w:val="0"/>
          <w:color w:val="auto"/>
          <w:kern w:val="0"/>
          <w:sz w:val="30"/>
          <w:szCs w:val="30"/>
          <w:u w:val="none"/>
          <w:lang w:val="en-US" w:eastAsia="zh-CN" w:bidi="ar"/>
        </w:rPr>
        <w:t>可持续影响</w:t>
      </w:r>
      <w:r>
        <w:rPr>
          <w:rFonts w:hint="eastAsia" w:ascii="仿宋" w:hAnsi="仿宋" w:eastAsia="仿宋" w:cs="仿宋"/>
          <w:bCs/>
          <w:color w:val="auto"/>
          <w:sz w:val="30"/>
          <w:szCs w:val="30"/>
          <w:lang w:val="en-US" w:eastAsia="zh-CN" w:bidi="en-US"/>
        </w:rPr>
        <w:t>（</w:t>
      </w:r>
      <w:r>
        <w:rPr>
          <w:rFonts w:hint="eastAsia" w:ascii="仿宋" w:hAnsi="仿宋" w:eastAsia="仿宋" w:cs="仿宋"/>
          <w:bCs/>
          <w:sz w:val="30"/>
          <w:szCs w:val="30"/>
          <w:lang w:val="en-US" w:eastAsia="zh-CN"/>
        </w:rPr>
        <w:t>指标分值8分，评价得分8分</w:t>
      </w:r>
      <w:r>
        <w:rPr>
          <w:rFonts w:hint="eastAsia" w:ascii="仿宋" w:hAnsi="仿宋" w:eastAsia="仿宋" w:cs="仿宋"/>
          <w:bCs/>
          <w:color w:val="auto"/>
          <w:sz w:val="30"/>
          <w:szCs w:val="30"/>
          <w:lang w:val="en-US" w:eastAsia="zh-CN" w:bidi="en-US"/>
        </w:rPr>
        <w:t>）</w:t>
      </w:r>
    </w:p>
    <w:p w14:paraId="69703B5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通过相关部门对土地需求的预测，实现与相关部门信息共享高效可持续发展模式，发现土地供不应求提前预警；通过对相关债务资金的管控措施，进一步规范债务资金取得的规模、取得途径和有效使用相关制度和相关流程，构建对债务资金的规模、取得途径和有效使用的长效机制。</w:t>
      </w:r>
    </w:p>
    <w:p w14:paraId="2BA75163">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Cs/>
          <w:color w:val="auto"/>
          <w:sz w:val="30"/>
          <w:szCs w:val="30"/>
          <w:lang w:val="en-US" w:eastAsia="zh-CN" w:bidi="en-US"/>
        </w:rPr>
      </w:pPr>
      <w:r>
        <w:rPr>
          <w:rFonts w:hint="eastAsia" w:ascii="仿宋_GB2312" w:hAnsi="宋体" w:eastAsia="仿宋_GB2312" w:cs="仿宋_GB2312"/>
          <w:b w:val="0"/>
          <w:bCs w:val="0"/>
          <w:i w:val="0"/>
          <w:color w:val="auto"/>
          <w:kern w:val="0"/>
          <w:sz w:val="30"/>
          <w:szCs w:val="30"/>
          <w:u w:val="none"/>
          <w:lang w:val="en-US" w:eastAsia="zh-CN" w:bidi="ar"/>
        </w:rPr>
        <w:t>社会公众或服务对象满意度</w:t>
      </w:r>
      <w:r>
        <w:rPr>
          <w:rFonts w:hint="eastAsia" w:ascii="仿宋" w:hAnsi="仿宋" w:eastAsia="仿宋" w:cs="仿宋"/>
          <w:bCs/>
          <w:color w:val="auto"/>
          <w:sz w:val="30"/>
          <w:szCs w:val="30"/>
          <w:lang w:val="en-US" w:eastAsia="zh-CN" w:bidi="en-US"/>
        </w:rPr>
        <w:t>（</w:t>
      </w:r>
      <w:r>
        <w:rPr>
          <w:rFonts w:hint="eastAsia" w:ascii="仿宋" w:hAnsi="仿宋" w:eastAsia="仿宋" w:cs="仿宋"/>
          <w:bCs/>
          <w:sz w:val="30"/>
          <w:szCs w:val="30"/>
          <w:lang w:val="en-US" w:eastAsia="zh-CN"/>
        </w:rPr>
        <w:t>指标分值8分，评价得分8分</w:t>
      </w:r>
      <w:r>
        <w:rPr>
          <w:rFonts w:hint="eastAsia" w:ascii="仿宋" w:hAnsi="仿宋" w:eastAsia="仿宋" w:cs="仿宋"/>
          <w:bCs/>
          <w:color w:val="auto"/>
          <w:sz w:val="30"/>
          <w:szCs w:val="30"/>
          <w:lang w:val="en-US" w:eastAsia="zh-CN" w:bidi="en-US"/>
        </w:rPr>
        <w:t>）</w:t>
      </w:r>
    </w:p>
    <w:p w14:paraId="4F0AFA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bCs/>
          <w:color w:val="auto"/>
          <w:sz w:val="32"/>
          <w:szCs w:val="32"/>
          <w:lang w:val="en-US" w:eastAsia="zh-CN" w:bidi="en-US"/>
        </w:rPr>
      </w:pPr>
      <w:r>
        <w:rPr>
          <w:rFonts w:hint="eastAsia" w:ascii="仿宋" w:hAnsi="仿宋" w:eastAsia="仿宋" w:cs="仿宋"/>
          <w:b w:val="0"/>
          <w:bCs w:val="0"/>
          <w:i w:val="0"/>
          <w:color w:val="auto"/>
          <w:sz w:val="30"/>
          <w:szCs w:val="30"/>
          <w:u w:val="none"/>
          <w:lang w:eastAsia="zh-CN"/>
        </w:rPr>
        <w:t>经问卷调查满意度测试和</w:t>
      </w:r>
      <w:r>
        <w:rPr>
          <w:rFonts w:hint="eastAsia" w:ascii="仿宋" w:hAnsi="仿宋" w:eastAsia="仿宋" w:cs="仿宋"/>
          <w:color w:val="auto"/>
          <w:sz w:val="32"/>
          <w:szCs w:val="32"/>
          <w:lang w:val="en-US" w:eastAsia="zh-CN"/>
        </w:rPr>
        <w:t>随机走访相关人员，相关人员对该项目有一定程度的了解，经统计，对项目的满意度达95%以上。</w:t>
      </w:r>
    </w:p>
    <w:p w14:paraId="34AFA7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2" w:firstLineChars="200"/>
        <w:jc w:val="both"/>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八、存在的主要问题</w:t>
      </w:r>
    </w:p>
    <w:p w14:paraId="53665DDF">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截止目前为止，虽然土地已经出让，获得了比预期更好的收入，但由于尚有个别遗留问题未处理，本项目总开发成本尚未结算，因此，实施本项目产生的实实在在的直接经济效益不能确定；</w:t>
      </w:r>
    </w:p>
    <w:p w14:paraId="70034502">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eastAsia="zh-CN"/>
        </w:rPr>
        <w:t>虽然签订了拆迁补偿费相关协议，并且有多方签字盖章确认，但未提供受款人领款的相关单据；</w:t>
      </w:r>
    </w:p>
    <w:p w14:paraId="6214ADC6">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sz w:val="30"/>
          <w:szCs w:val="30"/>
          <w:lang w:eastAsia="zh-CN"/>
        </w:rPr>
      </w:pPr>
      <w:r>
        <w:rPr>
          <w:rFonts w:hint="eastAsia" w:ascii="仿宋" w:hAnsi="仿宋" w:eastAsia="仿宋" w:cs="仿宋"/>
          <w:b w:val="0"/>
          <w:bCs w:val="0"/>
          <w:color w:val="auto"/>
          <w:sz w:val="30"/>
          <w:szCs w:val="30"/>
          <w:lang w:val="en-US" w:eastAsia="zh-CN"/>
        </w:rPr>
        <w:t>未建立关于本项目的具体业务管理制度；</w:t>
      </w:r>
    </w:p>
    <w:p w14:paraId="55A856F6">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eastAsia="zh-CN"/>
        </w:rPr>
      </w:pPr>
      <w:r>
        <w:rPr>
          <w:rFonts w:hint="eastAsia" w:ascii="仿宋" w:hAnsi="仿宋" w:eastAsia="仿宋" w:cs="仿宋"/>
          <w:i w:val="0"/>
          <w:color w:val="auto"/>
          <w:kern w:val="0"/>
          <w:sz w:val="30"/>
          <w:szCs w:val="30"/>
          <w:u w:val="none"/>
          <w:lang w:val="en-US" w:eastAsia="zh-CN" w:bidi="ar"/>
        </w:rPr>
        <w:t>已制定项目资金管理办法，并且项目资金管理办法符合相关财务会计制度的规定，但未就本项目制定具体、详细的本项目资金管理办法。</w:t>
      </w:r>
    </w:p>
    <w:p w14:paraId="0CD6E1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02" w:firstLineChars="200"/>
        <w:jc w:val="both"/>
        <w:textAlignment w:val="auto"/>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十、相关建议</w:t>
      </w:r>
    </w:p>
    <w:p w14:paraId="360A1036">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Cs/>
          <w:kern w:val="0"/>
          <w:sz w:val="30"/>
          <w:szCs w:val="30"/>
          <w:lang w:eastAsia="zh-CN"/>
        </w:rPr>
      </w:pPr>
      <w:r>
        <w:rPr>
          <w:rFonts w:hint="eastAsia" w:ascii="仿宋" w:hAnsi="仿宋" w:eastAsia="仿宋" w:cs="仿宋"/>
          <w:bCs/>
          <w:kern w:val="0"/>
          <w:sz w:val="30"/>
          <w:szCs w:val="30"/>
          <w:lang w:eastAsia="zh-CN"/>
        </w:rPr>
        <w:t>（一）加强债务资金项目管理。项目主管部门应切实承担起债务资金项目主体责任，加强项目管理，做好项目的前期准备工作，包括调研、专家论证和项目刷选工作，加强项目相关实施部门的协同配合，保证项目如期顺利进行。项目实施过程中，敦促项目相关实施单位加快项目实施进度，及时解决项目实施过程中遇到的问题，严格招投标手续，同时要求项目实施相关单位不断提高项目管理水平，力求取得较好的经济效益。</w:t>
      </w:r>
    </w:p>
    <w:p w14:paraId="62252953">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s="仿宋"/>
          <w:bCs/>
          <w:kern w:val="0"/>
          <w:sz w:val="30"/>
          <w:szCs w:val="30"/>
          <w:lang w:val="en-US" w:eastAsia="zh-CN"/>
        </w:rPr>
      </w:pPr>
      <w:r>
        <w:rPr>
          <w:rFonts w:hint="eastAsia" w:ascii="仿宋" w:hAnsi="仿宋" w:eastAsia="仿宋" w:cs="仿宋"/>
          <w:bCs/>
          <w:kern w:val="0"/>
          <w:sz w:val="30"/>
          <w:szCs w:val="30"/>
          <w:lang w:eastAsia="zh-CN"/>
        </w:rPr>
        <w:t>（二）加强债务资金管理，保障资金安全，发挥资金使用效益。项目管理部门应加强对资金拨付、资金使用、资金结算和绩效考核等环节的管理和监控，保障资金安全，在项目实施进展顺利的基础上，保证资金及时有效拨付。同时，加强资金使用管理，严格资金使用程序，项目相关实施单位严格按照政策要求使用资金。</w:t>
      </w:r>
    </w:p>
    <w:sectPr>
      <w:footerReference r:id="rId3" w:type="default"/>
      <w:pgSz w:w="11906" w:h="16838"/>
      <w:pgMar w:top="1667"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855E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6E46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E6E46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ACB110"/>
    <w:multiLevelType w:val="singleLevel"/>
    <w:tmpl w:val="92ACB110"/>
    <w:lvl w:ilvl="0" w:tentative="0">
      <w:start w:val="1"/>
      <w:numFmt w:val="chineseCounting"/>
      <w:suff w:val="nothing"/>
      <w:lvlText w:val="（%1）"/>
      <w:lvlJc w:val="left"/>
      <w:rPr>
        <w:rFonts w:hint="eastAsia"/>
      </w:rPr>
    </w:lvl>
  </w:abstractNum>
  <w:abstractNum w:abstractNumId="1">
    <w:nsid w:val="C4C17DEC"/>
    <w:multiLevelType w:val="singleLevel"/>
    <w:tmpl w:val="C4C17DEC"/>
    <w:lvl w:ilvl="0" w:tentative="0">
      <w:start w:val="1"/>
      <w:numFmt w:val="chineseCounting"/>
      <w:suff w:val="nothing"/>
      <w:lvlText w:val="%1、"/>
      <w:lvlJc w:val="left"/>
      <w:pPr>
        <w:ind w:left="0" w:firstLine="40"/>
      </w:pPr>
      <w:rPr>
        <w:rFonts w:hint="eastAsia"/>
      </w:rPr>
    </w:lvl>
  </w:abstractNum>
  <w:abstractNum w:abstractNumId="2">
    <w:nsid w:val="007E3EC5"/>
    <w:multiLevelType w:val="singleLevel"/>
    <w:tmpl w:val="007E3EC5"/>
    <w:lvl w:ilvl="0" w:tentative="0">
      <w:start w:val="1"/>
      <w:numFmt w:val="decimal"/>
      <w:suff w:val="nothing"/>
      <w:lvlText w:val="（%1）"/>
      <w:lvlJc w:val="left"/>
    </w:lvl>
  </w:abstractNum>
  <w:abstractNum w:abstractNumId="3">
    <w:nsid w:val="104B5A54"/>
    <w:multiLevelType w:val="singleLevel"/>
    <w:tmpl w:val="104B5A54"/>
    <w:lvl w:ilvl="0" w:tentative="0">
      <w:start w:val="5"/>
      <w:numFmt w:val="decimal"/>
      <w:suff w:val="nothing"/>
      <w:lvlText w:val="（%1）"/>
      <w:lvlJc w:val="left"/>
    </w:lvl>
  </w:abstractNum>
  <w:abstractNum w:abstractNumId="4">
    <w:nsid w:val="16C9AC71"/>
    <w:multiLevelType w:val="singleLevel"/>
    <w:tmpl w:val="16C9AC71"/>
    <w:lvl w:ilvl="0" w:tentative="0">
      <w:start w:val="1"/>
      <w:numFmt w:val="chineseCounting"/>
      <w:suff w:val="nothing"/>
      <w:lvlText w:val="（%1）"/>
      <w:lvlJc w:val="left"/>
      <w:rPr>
        <w:rFonts w:hint="eastAsia"/>
        <w:b w:val="0"/>
        <w:bCs w:val="0"/>
        <w:sz w:val="28"/>
        <w:szCs w:val="28"/>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zNDFhMjQxMzdmMjRiNjdjMWQwMjQ1Njc0MDQ1NjAifQ=="/>
  </w:docVars>
  <w:rsids>
    <w:rsidRoot w:val="00000000"/>
    <w:rsid w:val="010F3B4F"/>
    <w:rsid w:val="04F57A41"/>
    <w:rsid w:val="06D03895"/>
    <w:rsid w:val="0C815336"/>
    <w:rsid w:val="0DBA3094"/>
    <w:rsid w:val="11EE136D"/>
    <w:rsid w:val="129C7E92"/>
    <w:rsid w:val="19387D32"/>
    <w:rsid w:val="19FA42F1"/>
    <w:rsid w:val="1A6912F4"/>
    <w:rsid w:val="1CAA66C4"/>
    <w:rsid w:val="26365B51"/>
    <w:rsid w:val="27D93BE7"/>
    <w:rsid w:val="2944442E"/>
    <w:rsid w:val="2B8A21CD"/>
    <w:rsid w:val="2E7D38B9"/>
    <w:rsid w:val="372B3A6D"/>
    <w:rsid w:val="37F963FF"/>
    <w:rsid w:val="3C7413C4"/>
    <w:rsid w:val="3DDD54DA"/>
    <w:rsid w:val="3E3F35B6"/>
    <w:rsid w:val="43192ACA"/>
    <w:rsid w:val="4565555F"/>
    <w:rsid w:val="4615051B"/>
    <w:rsid w:val="4904108C"/>
    <w:rsid w:val="4BD047AF"/>
    <w:rsid w:val="5085442F"/>
    <w:rsid w:val="5B8D5C37"/>
    <w:rsid w:val="61CE1DDF"/>
    <w:rsid w:val="625D3C7F"/>
    <w:rsid w:val="628A1251"/>
    <w:rsid w:val="65091AAC"/>
    <w:rsid w:val="66F422E8"/>
    <w:rsid w:val="69EC54F9"/>
    <w:rsid w:val="6A9C0CCD"/>
    <w:rsid w:val="70746614"/>
    <w:rsid w:val="76946CFC"/>
    <w:rsid w:val="7A232871"/>
    <w:rsid w:val="7C920181"/>
    <w:rsid w:val="7FDC1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6341</Words>
  <Characters>7435</Characters>
  <Lines>0</Lines>
  <Paragraphs>0</Paragraphs>
  <TotalTime>133</TotalTime>
  <ScaleCrop>false</ScaleCrop>
  <LinksUpToDate>false</LinksUpToDate>
  <CharactersWithSpaces>7590</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2022-07-17T00:24:00Z</dcterms:created>
  <dc:creator>Administrator</dc:creator>
  <cp:lastModifiedBy>李国初_</cp:lastModifiedBy>
  <cp:lastPrinted>2022-11-23T08:08:00Z</cp:lastPrinted>
  <dcterms:modified xsi:type="dcterms:W3CDTF">2024-09-03T12:24:24Z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F4B635E08C2D40FE96E535997BC23144</vt:lpwstr>
  </property>
</Properties>
</file>